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A76" w:rsidRPr="006E77D5" w:rsidRDefault="00111A76" w:rsidP="00111A76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  <w:r w:rsidRPr="00517661">
        <w:rPr>
          <w:rFonts w:asciiTheme="minorHAnsi" w:hAnsiTheme="minorHAnsi" w:cstheme="minorHAnsi"/>
          <w:b/>
          <w:sz w:val="24"/>
          <w:szCs w:val="24"/>
          <w:lang w:val="sl-SI"/>
        </w:rPr>
        <w:t>PONUDBENI PREDRAČUN</w:t>
      </w:r>
      <w:r w:rsidRPr="006E77D5">
        <w:rPr>
          <w:rStyle w:val="Sprotnaopomba-sklic"/>
          <w:rFonts w:asciiTheme="minorHAnsi" w:hAnsiTheme="minorHAnsi" w:cstheme="minorHAnsi"/>
          <w:b/>
          <w:sz w:val="24"/>
          <w:szCs w:val="24"/>
          <w:lang w:val="sl-SI"/>
        </w:rPr>
        <w:footnoteReference w:id="1"/>
      </w:r>
    </w:p>
    <w:p w:rsidR="00111A76" w:rsidRPr="00D861F9" w:rsidRDefault="00111A76" w:rsidP="00111A76">
      <w:pPr>
        <w:rPr>
          <w:rFonts w:ascii="Calibri" w:hAnsi="Calibri"/>
          <w:b/>
          <w:sz w:val="22"/>
          <w:szCs w:val="22"/>
        </w:rPr>
      </w:pPr>
    </w:p>
    <w:p w:rsidR="00111A76" w:rsidRPr="00D861F9" w:rsidRDefault="00111A76" w:rsidP="00111A76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Style w:val="Tabelamrea"/>
        <w:tblW w:w="9281" w:type="dxa"/>
        <w:tblInd w:w="5" w:type="dxa"/>
        <w:tblLook w:val="04A0" w:firstRow="1" w:lastRow="0" w:firstColumn="1" w:lastColumn="0" w:noHBand="0" w:noVBand="1"/>
      </w:tblPr>
      <w:tblGrid>
        <w:gridCol w:w="398"/>
        <w:gridCol w:w="3703"/>
        <w:gridCol w:w="851"/>
        <w:gridCol w:w="2126"/>
        <w:gridCol w:w="2203"/>
      </w:tblGrid>
      <w:tr w:rsidR="00111A76" w:rsidRPr="0032577C" w:rsidTr="005211FF">
        <w:trPr>
          <w:trHeight w:val="31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1A76" w:rsidRPr="0032577C" w:rsidRDefault="00111A76" w:rsidP="005211FF">
            <w:pPr>
              <w:rPr>
                <w:rFonts w:asciiTheme="minorHAnsi" w:hAnsiTheme="minorHAnsi" w:cs="Arial"/>
                <w:b/>
                <w:snapToGrid w:val="0"/>
                <w:sz w:val="22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A76" w:rsidRPr="0032577C" w:rsidRDefault="00111A76" w:rsidP="005211FF">
            <w:pPr>
              <w:rPr>
                <w:rFonts w:asciiTheme="minorHAnsi" w:hAnsiTheme="minorHAnsi" w:cs="Arial"/>
                <w:b/>
                <w:snapToGrid w:val="0"/>
                <w:sz w:val="22"/>
              </w:rPr>
            </w:pPr>
            <w:r w:rsidRPr="008744E0">
              <w:rPr>
                <w:rFonts w:asciiTheme="minorHAnsi" w:hAnsiTheme="minorHAnsi" w:cs="Arial"/>
                <w:b/>
                <w:snapToGrid w:val="0"/>
                <w:sz w:val="22"/>
              </w:rPr>
              <w:t>Storitev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A76" w:rsidRPr="00F045BC" w:rsidRDefault="00111A76" w:rsidP="005211FF">
            <w:pPr>
              <w:jc w:val="center"/>
              <w:rPr>
                <w:rFonts w:asciiTheme="minorHAnsi" w:hAnsiTheme="minorHAnsi" w:cs="Arial"/>
                <w:b/>
                <w:snapToGrid w:val="0"/>
                <w:sz w:val="22"/>
              </w:rPr>
            </w:pPr>
            <w:r>
              <w:rPr>
                <w:rFonts w:asciiTheme="minorHAnsi" w:hAnsiTheme="minorHAnsi" w:cs="Arial"/>
                <w:b/>
                <w:snapToGrid w:val="0"/>
                <w:sz w:val="22"/>
              </w:rPr>
              <w:t>Št. parcel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A76" w:rsidRDefault="00111A76" w:rsidP="005211FF">
            <w:pPr>
              <w:jc w:val="center"/>
              <w:rPr>
                <w:rFonts w:asciiTheme="minorHAnsi" w:hAnsiTheme="minorHAnsi" w:cs="Arial"/>
                <w:b/>
                <w:snapToGrid w:val="0"/>
                <w:sz w:val="22"/>
              </w:rPr>
            </w:pPr>
            <w:r>
              <w:rPr>
                <w:rFonts w:asciiTheme="minorHAnsi" w:hAnsiTheme="minorHAnsi" w:cs="Arial"/>
                <w:b/>
                <w:snapToGrid w:val="0"/>
                <w:sz w:val="22"/>
              </w:rPr>
              <w:t>Cena/</w:t>
            </w:r>
            <w:r w:rsidRPr="0032577C">
              <w:rPr>
                <w:rFonts w:asciiTheme="minorHAnsi" w:hAnsiTheme="minorHAnsi" w:cs="Arial"/>
                <w:b/>
                <w:snapToGrid w:val="0"/>
                <w:sz w:val="22"/>
              </w:rPr>
              <w:t>enoto</w:t>
            </w:r>
          </w:p>
          <w:p w:rsidR="00111A76" w:rsidRPr="0032577C" w:rsidRDefault="00111A76" w:rsidP="005211FF">
            <w:pPr>
              <w:jc w:val="center"/>
              <w:rPr>
                <w:rFonts w:asciiTheme="minorHAnsi" w:hAnsiTheme="minorHAnsi" w:cs="Arial"/>
                <w:b/>
                <w:snapToGrid w:val="0"/>
                <w:sz w:val="22"/>
              </w:rPr>
            </w:pPr>
            <w:r>
              <w:rPr>
                <w:rFonts w:asciiTheme="minorHAnsi" w:hAnsiTheme="minorHAnsi" w:cs="Arial"/>
                <w:b/>
                <w:snapToGrid w:val="0"/>
                <w:sz w:val="22"/>
              </w:rPr>
              <w:t xml:space="preserve"> V EUR </w:t>
            </w:r>
            <w:r w:rsidRPr="0032577C">
              <w:rPr>
                <w:rFonts w:asciiTheme="minorHAnsi" w:hAnsiTheme="minorHAnsi" w:cs="Arial"/>
                <w:b/>
                <w:snapToGrid w:val="0"/>
                <w:sz w:val="22"/>
              </w:rPr>
              <w:t>brez DDV</w:t>
            </w:r>
            <w:r>
              <w:rPr>
                <w:rFonts w:asciiTheme="minorHAnsi" w:hAnsiTheme="minorHAnsi" w:cs="Arial"/>
                <w:b/>
                <w:snapToGrid w:val="0"/>
                <w:sz w:val="22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A76" w:rsidRPr="0032577C" w:rsidRDefault="00111A76" w:rsidP="005211FF">
            <w:pPr>
              <w:jc w:val="center"/>
              <w:rPr>
                <w:rFonts w:asciiTheme="minorHAnsi" w:hAnsiTheme="minorHAnsi" w:cs="Arial"/>
                <w:b/>
                <w:snapToGrid w:val="0"/>
                <w:sz w:val="22"/>
              </w:rPr>
            </w:pPr>
            <w:r>
              <w:rPr>
                <w:rFonts w:asciiTheme="minorHAnsi" w:hAnsiTheme="minorHAnsi" w:cs="Arial"/>
                <w:b/>
                <w:snapToGrid w:val="0"/>
                <w:sz w:val="22"/>
              </w:rPr>
              <w:t>S</w:t>
            </w:r>
            <w:r w:rsidRPr="0032577C">
              <w:rPr>
                <w:rFonts w:asciiTheme="minorHAnsi" w:hAnsiTheme="minorHAnsi" w:cs="Arial"/>
                <w:b/>
                <w:snapToGrid w:val="0"/>
                <w:sz w:val="22"/>
              </w:rPr>
              <w:t>kupaj</w:t>
            </w:r>
          </w:p>
        </w:tc>
      </w:tr>
      <w:tr w:rsidR="00111A76" w:rsidRPr="0032577C" w:rsidTr="005211FF">
        <w:trPr>
          <w:trHeight w:val="31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A76" w:rsidRPr="0032577C" w:rsidRDefault="00111A76" w:rsidP="005211FF">
            <w:pPr>
              <w:rPr>
                <w:rFonts w:asciiTheme="minorHAnsi" w:hAnsiTheme="minorHAnsi" w:cs="Arial"/>
                <w:snapToGrid w:val="0"/>
                <w:sz w:val="22"/>
              </w:rPr>
            </w:pPr>
            <w:r w:rsidRPr="0032577C">
              <w:rPr>
                <w:rFonts w:asciiTheme="minorHAnsi" w:hAnsiTheme="minorHAnsi" w:cs="Arial"/>
                <w:snapToGrid w:val="0"/>
                <w:sz w:val="22"/>
              </w:rPr>
              <w:t>1.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A76" w:rsidRPr="0032577C" w:rsidRDefault="00111A76" w:rsidP="005211FF">
            <w:pPr>
              <w:rPr>
                <w:rFonts w:asciiTheme="minorHAnsi" w:hAnsiTheme="minorHAnsi" w:cs="Arial"/>
                <w:snapToGrid w:val="0"/>
                <w:sz w:val="22"/>
              </w:rPr>
            </w:pPr>
            <w:r w:rsidRPr="00460E0D">
              <w:rPr>
                <w:rFonts w:asciiTheme="minorHAnsi" w:hAnsiTheme="minorHAnsi" w:cs="Arial"/>
                <w:snapToGrid w:val="0"/>
                <w:sz w:val="22"/>
              </w:rPr>
              <w:t>Cenitev nepremičnin</w:t>
            </w:r>
            <w:r>
              <w:rPr>
                <w:rFonts w:asciiTheme="minorHAnsi" w:hAnsiTheme="minorHAnsi" w:cs="Arial"/>
                <w:snapToGrid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A76" w:rsidRPr="00902A38" w:rsidRDefault="00111A76" w:rsidP="005211FF">
            <w:pPr>
              <w:jc w:val="center"/>
              <w:rPr>
                <w:rFonts w:asciiTheme="minorHAnsi" w:hAnsiTheme="minorHAnsi" w:cs="Arial"/>
                <w:snapToGrid w:val="0"/>
                <w:sz w:val="22"/>
              </w:rPr>
            </w:pPr>
            <w:r>
              <w:rPr>
                <w:rFonts w:asciiTheme="minorHAnsi" w:hAnsiTheme="minorHAnsi" w:cs="Arial"/>
                <w:snapToGrid w:val="0"/>
                <w:sz w:val="22"/>
              </w:rPr>
              <w:t>614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1A76" w:rsidRPr="0032577C" w:rsidRDefault="00111A76" w:rsidP="005211FF">
            <w:pPr>
              <w:rPr>
                <w:rFonts w:asciiTheme="minorHAnsi" w:hAnsiTheme="minorHAnsi" w:cs="Arial"/>
                <w:snapToGrid w:val="0"/>
                <w:sz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1A76" w:rsidRPr="0032577C" w:rsidRDefault="00111A76" w:rsidP="005211FF">
            <w:pPr>
              <w:rPr>
                <w:rFonts w:asciiTheme="minorHAnsi" w:hAnsiTheme="minorHAnsi" w:cs="Arial"/>
                <w:snapToGrid w:val="0"/>
                <w:sz w:val="22"/>
              </w:rPr>
            </w:pPr>
          </w:p>
        </w:tc>
      </w:tr>
      <w:tr w:rsidR="00111A76" w:rsidRPr="00A62AC9" w:rsidTr="005211FF">
        <w:trPr>
          <w:trHeight w:val="319"/>
        </w:trPr>
        <w:tc>
          <w:tcPr>
            <w:tcW w:w="7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1A76" w:rsidRPr="00A62AC9" w:rsidRDefault="00111A76" w:rsidP="005211FF">
            <w:pPr>
              <w:rPr>
                <w:rFonts w:asciiTheme="minorHAnsi" w:hAnsiTheme="minorHAnsi" w:cs="Arial"/>
                <w:b/>
                <w:snapToGrid w:val="0"/>
                <w:sz w:val="22"/>
              </w:rPr>
            </w:pPr>
            <w:r>
              <w:rPr>
                <w:rFonts w:asciiTheme="minorHAnsi" w:hAnsiTheme="minorHAnsi" w:cs="Arial"/>
                <w:b/>
                <w:snapToGrid w:val="0"/>
                <w:sz w:val="22"/>
              </w:rPr>
              <w:t xml:space="preserve">Skupaj </w:t>
            </w:r>
            <w:r w:rsidRPr="00A62AC9">
              <w:rPr>
                <w:rFonts w:asciiTheme="minorHAnsi" w:hAnsiTheme="minorHAnsi" w:cs="Arial"/>
                <w:b/>
                <w:snapToGrid w:val="0"/>
                <w:sz w:val="22"/>
              </w:rPr>
              <w:t>v EUR brez DDV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1A76" w:rsidRPr="00A62AC9" w:rsidRDefault="00111A76" w:rsidP="005211FF">
            <w:pPr>
              <w:rPr>
                <w:rFonts w:asciiTheme="minorHAnsi" w:hAnsiTheme="minorHAnsi" w:cs="Arial"/>
                <w:snapToGrid w:val="0"/>
                <w:sz w:val="22"/>
              </w:rPr>
            </w:pPr>
          </w:p>
        </w:tc>
      </w:tr>
    </w:tbl>
    <w:p w:rsidR="00111A76" w:rsidRDefault="00111A76" w:rsidP="00111A76">
      <w:pPr>
        <w:jc w:val="both"/>
        <w:rPr>
          <w:rFonts w:ascii="Calibri" w:hAnsi="Calibri" w:cs="Arial"/>
          <w:sz w:val="22"/>
          <w:szCs w:val="22"/>
        </w:rPr>
      </w:pPr>
    </w:p>
    <w:p w:rsidR="00111A76" w:rsidRDefault="00111A76" w:rsidP="00111A76">
      <w:pPr>
        <w:jc w:val="both"/>
        <w:rPr>
          <w:rFonts w:ascii="Calibri" w:hAnsi="Calibri" w:cs="Arial"/>
          <w:sz w:val="22"/>
          <w:szCs w:val="22"/>
        </w:rPr>
      </w:pPr>
    </w:p>
    <w:p w:rsidR="00111A76" w:rsidRDefault="00111A76" w:rsidP="00111A76">
      <w:p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Ponudbena vrednost</w:t>
      </w:r>
      <w:r w:rsidRPr="0032577C">
        <w:rPr>
          <w:rFonts w:asciiTheme="minorHAnsi" w:hAnsiTheme="minorHAnsi" w:cs="Arial"/>
          <w:sz w:val="22"/>
          <w:szCs w:val="22"/>
        </w:rPr>
        <w:t xml:space="preserve"> (brez DDV) </w:t>
      </w:r>
      <w:r>
        <w:rPr>
          <w:rFonts w:asciiTheme="minorHAnsi" w:hAnsiTheme="minorHAnsi" w:cs="Arial"/>
          <w:sz w:val="22"/>
          <w:szCs w:val="22"/>
        </w:rPr>
        <w:t xml:space="preserve">za posamezno parcelo </w:t>
      </w:r>
      <w:r w:rsidRPr="0032577C">
        <w:rPr>
          <w:rFonts w:asciiTheme="minorHAnsi" w:hAnsiTheme="minorHAnsi" w:cs="Arial"/>
          <w:sz w:val="22"/>
          <w:szCs w:val="22"/>
        </w:rPr>
        <w:t xml:space="preserve">mora vsebovati </w:t>
      </w:r>
      <w:r w:rsidRPr="0057641B">
        <w:rPr>
          <w:rFonts w:asciiTheme="minorHAnsi" w:hAnsiTheme="minorHAnsi" w:cs="Arial"/>
          <w:sz w:val="22"/>
          <w:szCs w:val="22"/>
          <w:u w:val="single"/>
        </w:rPr>
        <w:t>vse</w:t>
      </w:r>
      <w:r w:rsidRPr="0032577C">
        <w:rPr>
          <w:rFonts w:asciiTheme="minorHAnsi" w:hAnsiTheme="minorHAnsi" w:cs="Arial"/>
          <w:sz w:val="22"/>
          <w:szCs w:val="22"/>
        </w:rPr>
        <w:t xml:space="preserve"> stroške</w:t>
      </w:r>
      <w:r>
        <w:rPr>
          <w:rFonts w:asciiTheme="minorHAnsi" w:hAnsiTheme="minorHAnsi" w:cs="Arial"/>
          <w:sz w:val="22"/>
          <w:szCs w:val="22"/>
        </w:rPr>
        <w:t xml:space="preserve"> za izvajalčevo opremo, delavce, vodstvo, zavarovanja, tiskani izvodi cenilnih poročil kot je zahtevano v tehničnih zahtevah, </w:t>
      </w:r>
      <w:r w:rsidRPr="0032577C">
        <w:rPr>
          <w:rFonts w:asciiTheme="minorHAnsi" w:hAnsiTheme="minorHAnsi" w:cs="Arial"/>
          <w:sz w:val="22"/>
          <w:szCs w:val="22"/>
        </w:rPr>
        <w:t xml:space="preserve">ki jih ponudnik predvideva za izvedbo </w:t>
      </w:r>
      <w:r>
        <w:rPr>
          <w:rFonts w:asciiTheme="minorHAnsi" w:hAnsiTheme="minorHAnsi" w:cs="Arial"/>
          <w:sz w:val="22"/>
          <w:szCs w:val="22"/>
        </w:rPr>
        <w:t>pogodbenih obveznosti (prevoz</w:t>
      </w:r>
      <w:r w:rsidRPr="0032577C">
        <w:rPr>
          <w:rFonts w:asciiTheme="minorHAnsi" w:hAnsiTheme="minorHAnsi" w:cs="Arial"/>
          <w:sz w:val="22"/>
          <w:szCs w:val="22"/>
        </w:rPr>
        <w:t>ni stroški, stroški dela, materialni stroški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32577C">
        <w:rPr>
          <w:rFonts w:asciiTheme="minorHAnsi" w:hAnsiTheme="minorHAnsi" w:cs="Arial"/>
          <w:sz w:val="22"/>
          <w:szCs w:val="22"/>
        </w:rPr>
        <w:t>i</w:t>
      </w:r>
      <w:r>
        <w:rPr>
          <w:rFonts w:asciiTheme="minorHAnsi" w:hAnsiTheme="minorHAnsi" w:cs="Arial"/>
          <w:sz w:val="22"/>
          <w:szCs w:val="22"/>
        </w:rPr>
        <w:t>pd</w:t>
      </w:r>
      <w:r w:rsidRPr="004C4275">
        <w:rPr>
          <w:rFonts w:asciiTheme="minorHAnsi" w:hAnsiTheme="minorHAnsi" w:cs="Arial"/>
          <w:sz w:val="22"/>
          <w:szCs w:val="22"/>
        </w:rPr>
        <w:t xml:space="preserve">.), </w:t>
      </w:r>
      <w:r>
        <w:rPr>
          <w:rFonts w:asciiTheme="minorHAnsi" w:hAnsiTheme="minorHAnsi" w:cs="Arial"/>
          <w:sz w:val="22"/>
          <w:szCs w:val="22"/>
        </w:rPr>
        <w:t xml:space="preserve">skupaj z vsemi splošnimi riziki, odgovornostmi in obveznostmi navedenimi v dokumentaciji, </w:t>
      </w:r>
      <w:r w:rsidRPr="004C4275">
        <w:rPr>
          <w:rFonts w:ascii="Calibri" w:hAnsi="Calibri" w:cs="Arial"/>
          <w:sz w:val="22"/>
          <w:szCs w:val="22"/>
        </w:rPr>
        <w:t>tak</w:t>
      </w:r>
      <w:r w:rsidRPr="00D861F9">
        <w:rPr>
          <w:rFonts w:ascii="Calibri" w:hAnsi="Calibri" w:cs="Arial"/>
          <w:sz w:val="22"/>
          <w:szCs w:val="22"/>
        </w:rPr>
        <w:t xml:space="preserve">o da naročnika ne bremenijo nikakršni drugi stroški, povezani s predmetom </w:t>
      </w:r>
      <w:r>
        <w:rPr>
          <w:rFonts w:ascii="Calibri" w:hAnsi="Calibri" w:cs="Arial"/>
          <w:sz w:val="22"/>
          <w:szCs w:val="22"/>
        </w:rPr>
        <w:t>naročanja</w:t>
      </w:r>
      <w:r w:rsidRPr="00D861F9">
        <w:rPr>
          <w:rFonts w:ascii="Calibri" w:hAnsi="Calibri" w:cs="Arial"/>
          <w:sz w:val="22"/>
          <w:szCs w:val="22"/>
        </w:rPr>
        <w:t>. DDV se obračuna po veljavni zakonodaji.</w:t>
      </w:r>
      <w:r w:rsidRPr="00D861F9">
        <w:rPr>
          <w:rFonts w:ascii="Calibri" w:hAnsi="Calibri"/>
          <w:sz w:val="22"/>
          <w:szCs w:val="22"/>
        </w:rPr>
        <w:t xml:space="preserve"> Cena/enoto je fiksna ves čas izvajanja naročila.</w:t>
      </w:r>
    </w:p>
    <w:p w:rsidR="00111A76" w:rsidRDefault="00111A76" w:rsidP="00111A76">
      <w:pPr>
        <w:jc w:val="both"/>
        <w:rPr>
          <w:rFonts w:ascii="Calibri" w:hAnsi="Calibri"/>
          <w:sz w:val="22"/>
          <w:szCs w:val="22"/>
        </w:rPr>
      </w:pPr>
    </w:p>
    <w:p w:rsidR="00111A76" w:rsidRDefault="00111A76" w:rsidP="00111A76">
      <w:pPr>
        <w:pStyle w:val="Sprotnaopomba-besedilo"/>
        <w:jc w:val="both"/>
        <w:rPr>
          <w:lang w:val="sl-SI"/>
        </w:rPr>
      </w:pPr>
    </w:p>
    <w:p w:rsidR="00111A76" w:rsidRDefault="00111A76" w:rsidP="00111A76">
      <w:pPr>
        <w:pStyle w:val="Sprotnaopomba-besedilo"/>
        <w:jc w:val="both"/>
        <w:rPr>
          <w:lang w:val="sl-SI"/>
        </w:rPr>
      </w:pPr>
    </w:p>
    <w:p w:rsidR="00111A76" w:rsidRDefault="00111A76" w:rsidP="00111A76">
      <w:pPr>
        <w:pStyle w:val="Sprotnaopomba-besedilo"/>
        <w:jc w:val="both"/>
        <w:rPr>
          <w:lang w:val="sl-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6"/>
        <w:gridCol w:w="4526"/>
      </w:tblGrid>
      <w:tr w:rsidR="00111A76" w:rsidRPr="005A2438" w:rsidTr="005211FF">
        <w:trPr>
          <w:cantSplit/>
          <w:trHeight w:val="640"/>
        </w:trPr>
        <w:tc>
          <w:tcPr>
            <w:tcW w:w="4526" w:type="dxa"/>
          </w:tcPr>
          <w:p w:rsidR="00111A76" w:rsidRPr="005A2438" w:rsidRDefault="00111A76" w:rsidP="005211FF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4526" w:type="dxa"/>
          </w:tcPr>
          <w:p w:rsidR="00111A76" w:rsidRPr="005A2438" w:rsidRDefault="00111A76" w:rsidP="005211FF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Ponudnik:</w:t>
            </w:r>
          </w:p>
          <w:p w:rsidR="00111A76" w:rsidRPr="005A2438" w:rsidRDefault="00111A76" w:rsidP="005211F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111A76" w:rsidRPr="005A2438" w:rsidTr="005211FF">
        <w:trPr>
          <w:cantSplit/>
          <w:trHeight w:val="621"/>
        </w:trPr>
        <w:tc>
          <w:tcPr>
            <w:tcW w:w="4526" w:type="dxa"/>
          </w:tcPr>
          <w:p w:rsidR="00111A76" w:rsidRPr="005A2438" w:rsidRDefault="00111A76" w:rsidP="005211F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526" w:type="dxa"/>
          </w:tcPr>
          <w:p w:rsidR="00111A76" w:rsidRPr="005A2438" w:rsidRDefault="00111A76" w:rsidP="005211FF">
            <w:pPr>
              <w:rPr>
                <w:rFonts w:asciiTheme="minorHAnsi" w:hAnsiTheme="minorHAnsi" w:cs="Arial"/>
                <w:sz w:val="22"/>
              </w:rPr>
            </w:pPr>
          </w:p>
          <w:p w:rsidR="00111A76" w:rsidRPr="005A2438" w:rsidRDefault="00111A76" w:rsidP="005211FF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111A76" w:rsidRDefault="00111A76" w:rsidP="00111A76">
      <w:pPr>
        <w:pStyle w:val="Sprotnaopomba-besedilo"/>
        <w:jc w:val="both"/>
        <w:rPr>
          <w:lang w:val="sl-SI"/>
        </w:rPr>
      </w:pPr>
    </w:p>
    <w:p w:rsidR="00111A76" w:rsidRPr="00111A76" w:rsidRDefault="00111A76" w:rsidP="00111A76"/>
    <w:p w:rsidR="00111A76" w:rsidRPr="00111A76" w:rsidRDefault="00111A76" w:rsidP="00111A76"/>
    <w:p w:rsidR="00111A76" w:rsidRPr="00111A76" w:rsidRDefault="00111A76" w:rsidP="00111A76"/>
    <w:p w:rsidR="00111A76" w:rsidRPr="00111A76" w:rsidRDefault="00111A76" w:rsidP="00111A76"/>
    <w:p w:rsidR="00111A76" w:rsidRPr="00111A76" w:rsidRDefault="00111A76" w:rsidP="00111A76"/>
    <w:p w:rsidR="00111A76" w:rsidRPr="00111A76" w:rsidRDefault="00111A76" w:rsidP="00111A76"/>
    <w:p w:rsidR="00111A76" w:rsidRPr="00111A76" w:rsidRDefault="00111A76" w:rsidP="00111A76"/>
    <w:p w:rsidR="00111A76" w:rsidRPr="00111A76" w:rsidRDefault="00111A76" w:rsidP="00111A76"/>
    <w:p w:rsidR="00111A76" w:rsidRPr="00111A76" w:rsidRDefault="00111A76" w:rsidP="00111A76"/>
    <w:p w:rsidR="00111A76" w:rsidRPr="00111A76" w:rsidRDefault="00111A76" w:rsidP="00111A76"/>
    <w:p w:rsidR="00111A76" w:rsidRPr="00111A76" w:rsidRDefault="00111A76" w:rsidP="00111A76"/>
    <w:p w:rsidR="00111A76" w:rsidRPr="00111A76" w:rsidRDefault="00111A76" w:rsidP="00111A76"/>
    <w:p w:rsidR="00111A76" w:rsidRPr="00111A76" w:rsidRDefault="00111A76" w:rsidP="00111A76"/>
    <w:p w:rsidR="00111A76" w:rsidRPr="00111A76" w:rsidRDefault="00111A76" w:rsidP="00111A76"/>
    <w:p w:rsidR="00111A76" w:rsidRDefault="00111A76" w:rsidP="00111A76"/>
    <w:p w:rsidR="00111A76" w:rsidRPr="00111A76" w:rsidRDefault="00111A76" w:rsidP="00111A76"/>
    <w:p w:rsidR="001F52D0" w:rsidRDefault="00111A76" w:rsidP="00111A76">
      <w:pPr>
        <w:tabs>
          <w:tab w:val="left" w:pos="5865"/>
        </w:tabs>
      </w:pPr>
      <w:r>
        <w:tab/>
      </w:r>
      <w:bookmarkStart w:id="0" w:name="_GoBack"/>
      <w:bookmarkEnd w:id="0"/>
    </w:p>
    <w:sectPr w:rsidR="001F52D0">
      <w:footerReference w:type="firs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A76" w:rsidRDefault="00111A76" w:rsidP="00111A76">
      <w:r>
        <w:separator/>
      </w:r>
    </w:p>
  </w:endnote>
  <w:endnote w:type="continuationSeparator" w:id="0">
    <w:p w:rsidR="00111A76" w:rsidRDefault="00111A76" w:rsidP="0011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5383982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111A76" w:rsidRPr="00BD2A49" w:rsidRDefault="00111A76" w:rsidP="00111A76">
        <w:pPr>
          <w:pStyle w:val="Noga"/>
          <w:pBdr>
            <w:bottom w:val="single" w:sz="12" w:space="0" w:color="auto"/>
          </w:pBdr>
          <w:jc w:val="right"/>
          <w:rPr>
            <w:rFonts w:asciiTheme="minorHAnsi" w:hAnsiTheme="minorHAnsi"/>
            <w:sz w:val="18"/>
            <w:szCs w:val="12"/>
          </w:rPr>
        </w:pPr>
        <w:r>
          <w:rPr>
            <w:rFonts w:asciiTheme="minorHAnsi" w:hAnsiTheme="minorHAnsi"/>
            <w:sz w:val="18"/>
            <w:szCs w:val="12"/>
          </w:rPr>
          <w:t>17</w:t>
        </w:r>
      </w:p>
      <w:p w:rsidR="00111A76" w:rsidRPr="00BD2A49" w:rsidRDefault="00111A76" w:rsidP="00111A76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 w:rsidRPr="00BD2A49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Elektro Gorenjska, d. d.</w:t>
        </w:r>
      </w:p>
      <w:p w:rsidR="00111A76" w:rsidRPr="003B2D4D" w:rsidRDefault="00111A76" w:rsidP="00111A76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Cenitev nepremičnin za DV 2 x 110 kV Kamnik-Visoko,</w:t>
        </w:r>
        <w:r w:rsidRPr="000D1933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 xml:space="preserve"> št. </w:t>
        </w:r>
        <w:r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NMV(S)18-034</w:t>
        </w:r>
      </w:p>
      <w:p w:rsidR="00111A76" w:rsidRDefault="00111A76" w:rsidP="00111A76">
        <w:pPr>
          <w:pStyle w:val="Noga"/>
          <w:jc w:val="right"/>
          <w:rPr>
            <w:sz w:val="12"/>
            <w:szCs w:val="12"/>
          </w:rPr>
        </w:pPr>
      </w:p>
    </w:sdtContent>
  </w:sdt>
  <w:p w:rsidR="00111A76" w:rsidRPr="00111A76" w:rsidRDefault="00111A76" w:rsidP="00111A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A76" w:rsidRDefault="00111A76" w:rsidP="00111A76">
      <w:r>
        <w:separator/>
      </w:r>
    </w:p>
  </w:footnote>
  <w:footnote w:type="continuationSeparator" w:id="0">
    <w:p w:rsidR="00111A76" w:rsidRDefault="00111A76" w:rsidP="00111A76">
      <w:r>
        <w:continuationSeparator/>
      </w:r>
    </w:p>
  </w:footnote>
  <w:footnote w:id="1">
    <w:p w:rsidR="00111A76" w:rsidRPr="000F41E6" w:rsidRDefault="00111A76" w:rsidP="00111A76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</w:t>
      </w:r>
      <w:r>
        <w:rPr>
          <w:rFonts w:asciiTheme="minorHAnsi" w:hAnsiTheme="minorHAnsi" w:cstheme="minorHAnsi"/>
          <w:lang w:val="sl-SI"/>
        </w:rPr>
        <w:t>Drugi dokumenti</w:t>
      </w:r>
      <w:r w:rsidRPr="002E6084">
        <w:rPr>
          <w:rFonts w:asciiTheme="minorHAnsi" w:hAnsiTheme="minorHAnsi" w:cstheme="minorHAnsi"/>
          <w:lang w:val="sl-SI"/>
        </w:rPr>
        <w:t>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76"/>
    <w:rsid w:val="00111A76"/>
    <w:rsid w:val="001F52D0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6B48"/>
  <w15:chartTrackingRefBased/>
  <w15:docId w15:val="{53096FD5-2704-4349-8E69-5ABAC062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11A76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111A7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11A76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rsid w:val="00111A7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11A76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111A76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uiPriority w:val="99"/>
    <w:rsid w:val="00111A76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111A76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111A76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11A76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111A76"/>
    <w:rPr>
      <w:vertAlign w:val="superscript"/>
    </w:rPr>
  </w:style>
  <w:style w:type="paragraph" w:customStyle="1" w:styleId="EGGlava">
    <w:name w:val="EG Glava"/>
    <w:basedOn w:val="Navaden"/>
    <w:link w:val="EGGlavaZnak"/>
    <w:qFormat/>
    <w:rsid w:val="00111A76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111A76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111A76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111A76"/>
    <w:rPr>
      <w:rFonts w:ascii="Times New Roman" w:eastAsia="Times New Roman" w:hAnsi="Times New Roman" w:cs="Arial"/>
      <w:bCs/>
      <w:iCs/>
      <w:color w:val="808080"/>
      <w:spacing w:val="-4"/>
      <w:sz w:val="15"/>
      <w:szCs w:val="15"/>
      <w:lang w:eastAsia="sl-SI"/>
    </w:rPr>
  </w:style>
  <w:style w:type="paragraph" w:customStyle="1" w:styleId="EGNogaDesno">
    <w:name w:val="EG Noga Desno"/>
    <w:basedOn w:val="EGNoga"/>
    <w:qFormat/>
    <w:rsid w:val="00111A76"/>
    <w:pPr>
      <w:framePr w:wrap="around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2018-11-28T12:11:00Z</dcterms:created>
  <dcterms:modified xsi:type="dcterms:W3CDTF">2018-11-28T12:13:00Z</dcterms:modified>
</cp:coreProperties>
</file>