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81F" w:rsidRDefault="00A4381F" w:rsidP="00A4381F">
      <w:pPr>
        <w:jc w:val="right"/>
        <w:rPr>
          <w:rFonts w:asciiTheme="minorHAnsi" w:hAnsiTheme="minorHAnsi"/>
          <w:b/>
          <w:sz w:val="22"/>
          <w:szCs w:val="21"/>
        </w:rPr>
      </w:pPr>
      <w:r w:rsidRPr="00431EEE">
        <w:rPr>
          <w:rFonts w:asciiTheme="minorHAnsi" w:hAnsiTheme="minorHAnsi"/>
          <w:b/>
          <w:sz w:val="22"/>
          <w:szCs w:val="21"/>
        </w:rPr>
        <w:t>PRILOGA D/6</w:t>
      </w:r>
    </w:p>
    <w:p w:rsidR="00A4381F" w:rsidRDefault="00A4381F" w:rsidP="00A4381F">
      <w:pPr>
        <w:jc w:val="center"/>
        <w:rPr>
          <w:rFonts w:asciiTheme="minorHAnsi" w:hAnsiTheme="minorHAnsi" w:cs="Arial"/>
          <w:b/>
          <w:bCs/>
          <w:color w:val="000000"/>
          <w:sz w:val="22"/>
        </w:rPr>
      </w:pPr>
    </w:p>
    <w:p w:rsidR="00A4381F" w:rsidRDefault="00A4381F" w:rsidP="00A4381F">
      <w:pPr>
        <w:jc w:val="center"/>
        <w:rPr>
          <w:rFonts w:asciiTheme="minorHAnsi" w:hAnsiTheme="minorHAnsi" w:cs="Arial"/>
          <w:b/>
          <w:bCs/>
          <w:color w:val="000000"/>
          <w:sz w:val="22"/>
        </w:rPr>
      </w:pPr>
      <w:r w:rsidRPr="00651DEA">
        <w:rPr>
          <w:rFonts w:asciiTheme="minorHAnsi" w:hAnsiTheme="minorHAnsi" w:cs="Arial"/>
          <w:b/>
          <w:bCs/>
          <w:color w:val="000000"/>
          <w:sz w:val="22"/>
        </w:rPr>
        <w:t xml:space="preserve">Izpolnjen obrazec </w:t>
      </w:r>
      <w:r w:rsidRPr="00431EEE">
        <w:rPr>
          <w:rFonts w:asciiTheme="minorHAnsi" w:hAnsiTheme="minorHAnsi" w:cs="Arial"/>
          <w:b/>
          <w:color w:val="000000"/>
          <w:sz w:val="22"/>
        </w:rPr>
        <w:t>Ocena razvitosti zahtev naročnika</w:t>
      </w:r>
    </w:p>
    <w:p w:rsidR="00A4381F" w:rsidRPr="009206E3" w:rsidRDefault="00A4381F" w:rsidP="00A4381F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51DEA">
        <w:rPr>
          <w:rFonts w:asciiTheme="minorHAnsi" w:hAnsiTheme="minorHAnsi" w:cs="Arial"/>
          <w:b/>
          <w:sz w:val="22"/>
          <w:szCs w:val="22"/>
        </w:rPr>
        <w:t>(</w:t>
      </w:r>
      <w:r w:rsidRPr="00894B05">
        <w:rPr>
          <w:rFonts w:asciiTheme="minorHAnsi" w:hAnsiTheme="minorHAnsi" w:cs="Arial"/>
          <w:b/>
          <w:sz w:val="22"/>
          <w:szCs w:val="22"/>
        </w:rPr>
        <w:t>v skladu s podtočk</w:t>
      </w:r>
      <w:r>
        <w:rPr>
          <w:rFonts w:asciiTheme="minorHAnsi" w:hAnsiTheme="minorHAnsi" w:cs="Arial"/>
          <w:b/>
          <w:sz w:val="22"/>
          <w:szCs w:val="22"/>
        </w:rPr>
        <w:t>ama</w:t>
      </w:r>
      <w:r w:rsidRPr="00894B05">
        <w:rPr>
          <w:rFonts w:asciiTheme="minorHAnsi" w:hAnsiTheme="minorHAnsi" w:cs="Arial"/>
          <w:b/>
          <w:sz w:val="22"/>
          <w:szCs w:val="22"/>
        </w:rPr>
        <w:t xml:space="preserve"> 8</w:t>
      </w:r>
      <w:r>
        <w:rPr>
          <w:rFonts w:asciiTheme="minorHAnsi" w:hAnsiTheme="minorHAnsi" w:cs="Arial"/>
          <w:b/>
          <w:sz w:val="22"/>
          <w:szCs w:val="22"/>
        </w:rPr>
        <w:t xml:space="preserve"> in 15</w:t>
      </w:r>
      <w:r w:rsidRPr="00894B05">
        <w:rPr>
          <w:rFonts w:asciiTheme="minorHAnsi" w:hAnsiTheme="minorHAnsi" w:cs="Arial"/>
          <w:b/>
          <w:sz w:val="22"/>
          <w:szCs w:val="22"/>
        </w:rPr>
        <w:t>, točke 2</w:t>
      </w:r>
      <w:r>
        <w:rPr>
          <w:rFonts w:asciiTheme="minorHAnsi" w:hAnsiTheme="minorHAnsi" w:cs="Arial"/>
          <w:b/>
          <w:sz w:val="22"/>
          <w:szCs w:val="22"/>
        </w:rPr>
        <w:t>2</w:t>
      </w:r>
      <w:r w:rsidRPr="00894B05">
        <w:rPr>
          <w:rFonts w:asciiTheme="minorHAnsi" w:hAnsiTheme="minorHAnsi" w:cs="Arial"/>
          <w:b/>
          <w:sz w:val="22"/>
          <w:szCs w:val="22"/>
        </w:rPr>
        <w:t xml:space="preserve"> dokumentacije)</w:t>
      </w:r>
    </w:p>
    <w:p w:rsidR="00A4381F" w:rsidRDefault="00A4381F" w:rsidP="00A4381F">
      <w:pPr>
        <w:rPr>
          <w:rFonts w:asciiTheme="minorHAnsi" w:hAnsiTheme="minorHAnsi"/>
          <w:b/>
          <w:sz w:val="22"/>
          <w:szCs w:val="21"/>
        </w:rPr>
      </w:pPr>
    </w:p>
    <w:p w:rsidR="00A4381F" w:rsidRDefault="00A4381F" w:rsidP="00A4381F"/>
    <w:p w:rsidR="00A4381F" w:rsidRPr="008B5E72" w:rsidRDefault="00A4381F" w:rsidP="00A4381F">
      <w:pPr>
        <w:rPr>
          <w:rFonts w:asciiTheme="minorHAnsi" w:hAnsiTheme="minorHAnsi"/>
          <w:sz w:val="22"/>
        </w:rPr>
      </w:pPr>
      <w:r w:rsidRPr="008B5E72">
        <w:rPr>
          <w:rFonts w:asciiTheme="minorHAnsi" w:hAnsiTheme="minorHAnsi"/>
          <w:sz w:val="22"/>
        </w:rPr>
        <w:t xml:space="preserve">Pri implementaciji predmeta naročila bodo uporabljeni produkti </w:t>
      </w:r>
      <w:r w:rsidRPr="00F43B66">
        <w:rPr>
          <w:rFonts w:asciiTheme="minorHAnsi" w:hAnsiTheme="minorHAnsi"/>
          <w:i/>
          <w:sz w:val="22"/>
        </w:rPr>
        <w:t>(navedite CRM rešitev oz. sistem in morebitne dodatne produkte)</w:t>
      </w:r>
      <w:r w:rsidRPr="008B5E72">
        <w:rPr>
          <w:rFonts w:asciiTheme="minorHAnsi" w:hAnsiTheme="minorHAnsi"/>
          <w:sz w:val="22"/>
        </w:rPr>
        <w:t>: 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</w:rPr>
        <w:t>_____________________________________________</w:t>
      </w:r>
    </w:p>
    <w:p w:rsidR="00A4381F" w:rsidRPr="008B5E72" w:rsidRDefault="00A4381F" w:rsidP="00A4381F">
      <w:pPr>
        <w:rPr>
          <w:rFonts w:asciiTheme="minorHAnsi" w:hAnsiTheme="minorHAnsi"/>
          <w:sz w:val="22"/>
        </w:rPr>
      </w:pPr>
      <w:bookmarkStart w:id="0" w:name="_GoBack"/>
      <w:bookmarkEnd w:id="0"/>
    </w:p>
    <w:p w:rsidR="00A4381F" w:rsidRPr="008B5E72" w:rsidRDefault="00A4381F" w:rsidP="00A4381F">
      <w:pPr>
        <w:rPr>
          <w:rFonts w:asciiTheme="minorHAnsi" w:hAnsiTheme="minorHAnsi"/>
          <w:sz w:val="22"/>
        </w:rPr>
      </w:pPr>
    </w:p>
    <w:p w:rsidR="00A4381F" w:rsidRDefault="00A4381F" w:rsidP="00A4381F">
      <w:pPr>
        <w:pStyle w:val="Odstavekseznama"/>
        <w:ind w:left="0"/>
        <w:jc w:val="center"/>
        <w:rPr>
          <w:rFonts w:asciiTheme="minorHAnsi" w:hAnsiTheme="minorHAnsi"/>
          <w:lang w:val="sl-SI"/>
        </w:rPr>
      </w:pPr>
      <w:r w:rsidRPr="00952E43">
        <w:rPr>
          <w:rFonts w:asciiTheme="minorHAnsi" w:hAnsiTheme="minorHAnsi"/>
          <w:lang w:val="sl-SI"/>
        </w:rPr>
        <w:t xml:space="preserve">Okvirna razvitost zahtevanih funkcionalnosti: __________ % </w:t>
      </w:r>
      <w:r w:rsidRPr="00F856A8">
        <w:rPr>
          <w:rFonts w:asciiTheme="minorHAnsi" w:hAnsiTheme="minorHAnsi"/>
          <w:lang w:val="sl-SI"/>
        </w:rPr>
        <w:t>(kandidat izpolni pri oddaji prijav</w:t>
      </w:r>
      <w:r>
        <w:rPr>
          <w:rFonts w:asciiTheme="minorHAnsi" w:hAnsiTheme="minorHAnsi"/>
          <w:lang w:val="sl-SI"/>
        </w:rPr>
        <w:t>e</w:t>
      </w:r>
      <w:r w:rsidRPr="00F856A8">
        <w:rPr>
          <w:rFonts w:asciiTheme="minorHAnsi" w:hAnsiTheme="minorHAnsi"/>
          <w:lang w:val="sl-SI"/>
        </w:rPr>
        <w:t>)</w:t>
      </w:r>
    </w:p>
    <w:p w:rsidR="00A4381F" w:rsidRPr="0064219A" w:rsidRDefault="00A4381F" w:rsidP="00A4381F">
      <w:pPr>
        <w:pStyle w:val="Odstavekseznama"/>
        <w:ind w:left="0"/>
        <w:jc w:val="center"/>
        <w:rPr>
          <w:rFonts w:asciiTheme="minorHAnsi" w:hAnsiTheme="minorHAnsi"/>
          <w:b/>
          <w:lang w:val="sl-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1"/>
              <w:szCs w:val="21"/>
              <w:lang w:val="sl-SI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theme="minorHAnsi"/>
              <w:sz w:val="21"/>
              <w:szCs w:val="21"/>
              <w:lang w:val="sl-SI" w:eastAsia="sl-SI"/>
            </w:rPr>
            <m:t xml:space="preserve">R= </m:t>
          </m:r>
          <m:f>
            <m:fPr>
              <m:ctrlPr>
                <w:rPr>
                  <w:rFonts w:ascii="Cambria Math" w:eastAsia="Times New Roman" w:hAnsi="Cambria Math" w:cstheme="minorHAnsi"/>
                  <w:sz w:val="21"/>
                  <w:szCs w:val="21"/>
                  <w:lang w:val="sl-SI" w:eastAsia="sl-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1"/>
                  <w:szCs w:val="21"/>
                  <w:lang w:val="sl-SI" w:eastAsia="sl-SI"/>
                </w:rPr>
                <m:t>Ʃ (</m:t>
              </m:r>
              <m:sSub>
                <m:sSubPr>
                  <m:ctrlPr>
                    <w:rPr>
                      <w:rFonts w:ascii="Cambria Math" w:hAnsi="Cambria Math"/>
                      <w:sz w:val="21"/>
                      <w:szCs w:val="21"/>
                      <w:lang w:val="sl-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  <w:lang w:val="sl-SI"/>
                    </w:rPr>
                    <m:t>Procent okvirne razvitosti zahteve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  <w:lang w:val="sl-SI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1"/>
                  <w:szCs w:val="21"/>
                  <w:lang w:val="sl-SI"/>
                </w:rPr>
                <m:t xml:space="preserve">  x </m:t>
              </m:r>
              <m:sSub>
                <m:sSubPr>
                  <m:ctrlPr>
                    <w:rPr>
                      <w:rFonts w:ascii="Cambria Math" w:hAnsi="Cambria Math"/>
                      <w:sz w:val="21"/>
                      <w:szCs w:val="21"/>
                      <w:lang w:val="sl-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  <w:lang w:val="sl-SI"/>
                    </w:rPr>
                    <m:t>Utež zahteve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  <w:lang w:val="sl-SI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1"/>
                  <w:szCs w:val="21"/>
                  <w:lang w:val="sl-SI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1"/>
                  <w:szCs w:val="21"/>
                  <w:lang w:val="sl-SI" w:eastAsia="sl-SI"/>
                </w:rPr>
                <m:t>Ʃ (</m:t>
              </m:r>
              <m:sSub>
                <m:sSubPr>
                  <m:ctrlPr>
                    <w:rPr>
                      <w:rFonts w:ascii="Cambria Math" w:hAnsi="Cambria Math"/>
                      <w:sz w:val="21"/>
                      <w:szCs w:val="21"/>
                      <w:lang w:val="sl-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  <w:lang w:val="sl-SI"/>
                    </w:rPr>
                    <m:t>Utež zahteve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  <w:lang w:val="sl-SI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1"/>
                  <w:szCs w:val="21"/>
                  <w:lang w:val="sl-SI"/>
                </w:rPr>
                <m:t>)</m:t>
              </m:r>
            </m:den>
          </m:f>
        </m:oMath>
      </m:oMathPara>
    </w:p>
    <w:p w:rsidR="00A4381F" w:rsidRDefault="00A4381F" w:rsidP="00A4381F">
      <w:pPr>
        <w:pStyle w:val="Odstavekseznama"/>
        <w:ind w:left="0"/>
        <w:jc w:val="center"/>
        <w:rPr>
          <w:rFonts w:asciiTheme="minorHAnsi" w:hAnsiTheme="minorHAnsi"/>
          <w:lang w:val="sl-SI"/>
        </w:rPr>
      </w:pPr>
    </w:p>
    <w:p w:rsidR="00A4381F" w:rsidRPr="00952E43" w:rsidRDefault="00A4381F" w:rsidP="00A4381F">
      <w:pPr>
        <w:pStyle w:val="Odstavekseznama"/>
        <w:ind w:left="0"/>
        <w:jc w:val="center"/>
        <w:rPr>
          <w:rFonts w:asciiTheme="minorHAnsi" w:hAnsiTheme="minorHAnsi"/>
          <w:lang w:val="sl-SI"/>
        </w:rPr>
      </w:pPr>
    </w:p>
    <w:p w:rsidR="00A4381F" w:rsidRDefault="00A4381F" w:rsidP="00A4381F">
      <w:pPr>
        <w:pStyle w:val="Odstavekseznama"/>
        <w:ind w:left="0"/>
        <w:jc w:val="center"/>
        <w:rPr>
          <w:rFonts w:asciiTheme="minorHAnsi" w:hAnsiTheme="minorHAnsi"/>
          <w:lang w:val="sl-SI"/>
        </w:rPr>
      </w:pPr>
      <w:r w:rsidRPr="00952E43">
        <w:rPr>
          <w:rFonts w:asciiTheme="minorHAnsi" w:hAnsiTheme="minorHAnsi"/>
          <w:lang w:val="sl-SI"/>
        </w:rPr>
        <w:t xml:space="preserve">Razvitost zahtevanih funkcionalnosti: __________ % </w:t>
      </w:r>
      <w:r w:rsidRPr="00F856A8">
        <w:rPr>
          <w:rFonts w:asciiTheme="minorHAnsi" w:hAnsiTheme="minorHAnsi"/>
          <w:lang w:val="sl-SI"/>
        </w:rPr>
        <w:t>(ponudnik izpolni pri oddaji ponudbe)</w:t>
      </w:r>
    </w:p>
    <w:p w:rsidR="00A4381F" w:rsidRPr="002D7CA8" w:rsidRDefault="00A4381F" w:rsidP="00A4381F">
      <w:pPr>
        <w:pStyle w:val="Odstavekseznama"/>
        <w:ind w:left="0"/>
        <w:jc w:val="center"/>
        <w:rPr>
          <w:rFonts w:asciiTheme="minorHAnsi" w:eastAsia="Times New Roman" w:hAnsiTheme="minorHAnsi" w:cstheme="minorHAnsi"/>
          <w:sz w:val="21"/>
          <w:szCs w:val="21"/>
          <w:lang w:val="sl-SI" w:eastAsia="sl-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1"/>
              <w:szCs w:val="21"/>
              <w:lang w:val="sl-SI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theme="minorHAnsi"/>
              <w:sz w:val="21"/>
              <w:szCs w:val="21"/>
              <w:lang w:val="sl-SI" w:eastAsia="sl-SI"/>
            </w:rPr>
            <m:t xml:space="preserve">R= </m:t>
          </m:r>
          <m:f>
            <m:fPr>
              <m:ctrlPr>
                <w:rPr>
                  <w:rFonts w:ascii="Cambria Math" w:eastAsia="Times New Roman" w:hAnsi="Cambria Math" w:cstheme="minorHAnsi"/>
                  <w:sz w:val="21"/>
                  <w:szCs w:val="21"/>
                  <w:lang w:val="sl-SI" w:eastAsia="sl-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1"/>
                  <w:szCs w:val="21"/>
                  <w:lang w:val="sl-SI" w:eastAsia="sl-SI"/>
                </w:rPr>
                <m:t>Ʃ (</m:t>
              </m:r>
              <m:sSub>
                <m:sSubPr>
                  <m:ctrlPr>
                    <w:rPr>
                      <w:rFonts w:ascii="Cambria Math" w:hAnsi="Cambria Math"/>
                      <w:sz w:val="21"/>
                      <w:szCs w:val="21"/>
                      <w:lang w:val="sl-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  <w:lang w:val="sl-SI"/>
                    </w:rPr>
                    <m:t>Procent razvitosti zahteve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  <w:lang w:val="sl-SI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1"/>
                  <w:szCs w:val="21"/>
                  <w:lang w:val="sl-SI"/>
                </w:rPr>
                <m:t xml:space="preserve">  x </m:t>
              </m:r>
              <m:sSub>
                <m:sSubPr>
                  <m:ctrlPr>
                    <w:rPr>
                      <w:rFonts w:ascii="Cambria Math" w:hAnsi="Cambria Math"/>
                      <w:sz w:val="21"/>
                      <w:szCs w:val="21"/>
                      <w:lang w:val="sl-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  <w:lang w:val="sl-SI"/>
                    </w:rPr>
                    <m:t>Utež zahteve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  <w:lang w:val="sl-SI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1"/>
                  <w:szCs w:val="21"/>
                  <w:lang w:val="sl-SI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1"/>
                  <w:szCs w:val="21"/>
                  <w:lang w:val="sl-SI" w:eastAsia="sl-SI"/>
                </w:rPr>
                <m:t>Ʃ (</m:t>
              </m:r>
              <m:sSub>
                <m:sSubPr>
                  <m:ctrlPr>
                    <w:rPr>
                      <w:rFonts w:ascii="Cambria Math" w:hAnsi="Cambria Math"/>
                      <w:sz w:val="21"/>
                      <w:szCs w:val="21"/>
                      <w:lang w:val="sl-SI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1"/>
                      <w:szCs w:val="21"/>
                      <w:lang w:val="sl-SI"/>
                    </w:rPr>
                    <m:t>Utež zahteve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  <w:lang w:val="sl-SI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1"/>
                  <w:szCs w:val="21"/>
                  <w:lang w:val="sl-SI"/>
                </w:rPr>
                <m:t>)</m:t>
              </m:r>
            </m:den>
          </m:f>
          <m:r>
            <m:rPr>
              <m:sty m:val="p"/>
            </m:rPr>
            <w:rPr>
              <w:rFonts w:ascii="Cambria Math" w:eastAsia="Times New Roman" w:hAnsi="Cambria Math" w:cstheme="minorHAnsi"/>
              <w:sz w:val="21"/>
              <w:szCs w:val="21"/>
              <w:lang w:val="sl-SI" w:eastAsia="sl-SI"/>
            </w:rPr>
            <m:t xml:space="preserve"> </m:t>
          </m:r>
        </m:oMath>
      </m:oMathPara>
    </w:p>
    <w:p w:rsidR="00A4381F" w:rsidRPr="002D7CA8" w:rsidRDefault="00A4381F" w:rsidP="00A4381F">
      <w:pPr>
        <w:pStyle w:val="Odstavekseznama"/>
        <w:spacing w:after="0" w:line="240" w:lineRule="auto"/>
        <w:ind w:left="1495"/>
        <w:rPr>
          <w:rFonts w:asciiTheme="minorHAnsi" w:eastAsia="Times New Roman" w:hAnsiTheme="minorHAnsi" w:cstheme="minorHAnsi"/>
          <w:sz w:val="21"/>
          <w:szCs w:val="21"/>
          <w:lang w:val="sl-SI" w:eastAsia="sl-SI"/>
        </w:rPr>
      </w:pPr>
    </w:p>
    <w:p w:rsidR="00A4381F" w:rsidRPr="00065F73" w:rsidRDefault="00A4381F" w:rsidP="00A4381F">
      <w:pPr>
        <w:pStyle w:val="Odstavekseznama"/>
        <w:spacing w:after="0" w:line="240" w:lineRule="auto"/>
        <w:ind w:left="0"/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 w:rsidRPr="00065F73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kjer pomeni:</w:t>
      </w:r>
    </w:p>
    <w:p w:rsidR="00A4381F" w:rsidRPr="00065F73" w:rsidRDefault="00A4381F" w:rsidP="00A4381F">
      <w:pPr>
        <w:pStyle w:val="Odstavekseznama"/>
        <w:spacing w:after="0" w:line="240" w:lineRule="auto"/>
        <w:ind w:left="0"/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 w:rsidRPr="00065F73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R – razvitost zahtevanih funkcionalnosti;</w:t>
      </w:r>
    </w:p>
    <w:p w:rsidR="00A4381F" w:rsidRPr="00031E32" w:rsidRDefault="00A4381F" w:rsidP="00A4381F">
      <w:pPr>
        <w:pStyle w:val="Odstavekseznama"/>
        <w:spacing w:after="0" w:line="240" w:lineRule="auto"/>
        <w:ind w:left="0"/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w:r w:rsidRPr="00065F73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>Ʃ – vsota;</w:t>
      </w:r>
    </w:p>
    <w:p w:rsidR="00A4381F" w:rsidRPr="00031E32" w:rsidRDefault="00A4381F" w:rsidP="00A4381F">
      <w:pPr>
        <w:pStyle w:val="Odstavekseznama"/>
        <w:spacing w:after="0" w:line="240" w:lineRule="auto"/>
        <w:ind w:left="0"/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Procent okvirne razvitosti zahteve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</m:oMath>
      <w:r w:rsidRPr="00031E32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 xml:space="preserve"> – Procent razvitosti i-te zahteve naveden s strani ponudnika v prilogi D/6 v stolpcu Okvirna razvitost %;</w:t>
      </w:r>
    </w:p>
    <w:p w:rsidR="00A4381F" w:rsidRPr="00031E32" w:rsidRDefault="00A4381F" w:rsidP="00A4381F">
      <w:pPr>
        <w:pStyle w:val="Odstavekseznama"/>
        <w:spacing w:after="0" w:line="240" w:lineRule="auto"/>
        <w:ind w:left="0"/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Procent razvitosti zahteve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</m:oMath>
      <w:r w:rsidRPr="00031E32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 xml:space="preserve"> – Procent razvitosti i-te zahteve naveden s strani ponudnika v prilogi D/6 v stolpcu Razvitost %;</w:t>
      </w:r>
    </w:p>
    <w:p w:rsidR="00A4381F" w:rsidRPr="00065F73" w:rsidRDefault="00A4381F" w:rsidP="00A4381F">
      <w:pPr>
        <w:pStyle w:val="Odstavekseznama"/>
        <w:spacing w:after="0" w:line="240" w:lineRule="auto"/>
        <w:ind w:left="0"/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</w:pP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Utež zahteve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</m:oMath>
      <w:r w:rsidRPr="00031E32">
        <w:rPr>
          <w:rFonts w:asciiTheme="minorHAnsi" w:eastAsia="Times New Roman" w:hAnsiTheme="minorHAnsi" w:cstheme="minorHAnsi"/>
          <w:sz w:val="20"/>
          <w:szCs w:val="20"/>
          <w:lang w:val="sl-SI" w:eastAsia="sl-SI"/>
        </w:rPr>
        <w:t xml:space="preserve"> – Utež i-te zahteve navedena v prilogi D/6 v stolpcu Utež;</w:t>
      </w:r>
    </w:p>
    <w:p w:rsidR="00A4381F" w:rsidRPr="008B5E72" w:rsidRDefault="00A4381F" w:rsidP="00A4381F">
      <w:pPr>
        <w:rPr>
          <w:rFonts w:asciiTheme="minorHAnsi" w:hAnsiTheme="minorHAnsi"/>
          <w:sz w:val="22"/>
        </w:rPr>
      </w:pPr>
    </w:p>
    <w:p w:rsidR="00A4381F" w:rsidRPr="005E0BEA" w:rsidRDefault="00A4381F" w:rsidP="00A4381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66"/>
        <w:gridCol w:w="5650"/>
        <w:gridCol w:w="596"/>
        <w:gridCol w:w="957"/>
        <w:gridCol w:w="993"/>
      </w:tblGrid>
      <w:tr w:rsidR="00A4381F" w:rsidRPr="002A773E" w:rsidTr="0051329F">
        <w:trPr>
          <w:tblHeader/>
        </w:trPr>
        <w:tc>
          <w:tcPr>
            <w:tcW w:w="875" w:type="dxa"/>
            <w:shd w:val="clear" w:color="auto" w:fill="D9D9D9" w:themeFill="background1" w:themeFillShade="D9"/>
          </w:tcPr>
          <w:p w:rsidR="00A4381F" w:rsidRPr="00DD2250" w:rsidRDefault="00A4381F" w:rsidP="0051329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250">
              <w:rPr>
                <w:rFonts w:asciiTheme="minorHAnsi" w:hAnsiTheme="minorHAnsi" w:cstheme="minorHAnsi"/>
                <w:b/>
                <w:sz w:val="20"/>
                <w:szCs w:val="20"/>
              </w:rPr>
              <w:t>Oznaka zahteve</w:t>
            </w:r>
          </w:p>
        </w:tc>
        <w:tc>
          <w:tcPr>
            <w:tcW w:w="5663" w:type="dxa"/>
            <w:shd w:val="clear" w:color="auto" w:fill="D9D9D9" w:themeFill="background1" w:themeFillShade="D9"/>
          </w:tcPr>
          <w:p w:rsidR="00A4381F" w:rsidRPr="00DD2250" w:rsidRDefault="00A4381F" w:rsidP="0051329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250">
              <w:rPr>
                <w:rFonts w:asciiTheme="minorHAnsi" w:hAnsiTheme="minorHAnsi" w:cstheme="minorHAnsi"/>
                <w:b/>
                <w:sz w:val="20"/>
                <w:szCs w:val="20"/>
              </w:rPr>
              <w:t>Funkcionalna zahteva</w:t>
            </w:r>
          </w:p>
        </w:tc>
        <w:tc>
          <w:tcPr>
            <w:tcW w:w="658" w:type="dxa"/>
            <w:shd w:val="clear" w:color="auto" w:fill="D9D9D9" w:themeFill="background1" w:themeFillShade="D9"/>
          </w:tcPr>
          <w:p w:rsidR="00A4381F" w:rsidRPr="00DD2250" w:rsidRDefault="00A4381F" w:rsidP="0051329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250">
              <w:rPr>
                <w:rFonts w:asciiTheme="minorHAnsi" w:hAnsiTheme="minorHAnsi" w:cstheme="minorHAnsi"/>
                <w:b/>
                <w:sz w:val="20"/>
                <w:szCs w:val="20"/>
              </w:rPr>
              <w:t>Utež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:rsidR="00A4381F" w:rsidRDefault="00A4381F" w:rsidP="0051329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2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Okvirna razvitost % </w:t>
            </w:r>
          </w:p>
          <w:p w:rsidR="00A4381F" w:rsidRPr="00DD2250" w:rsidRDefault="00A4381F" w:rsidP="0051329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25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(izpolni kandidat v prijavi)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:rsidR="00A4381F" w:rsidRPr="00DD2250" w:rsidRDefault="00A4381F" w:rsidP="0051329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2250">
              <w:rPr>
                <w:rFonts w:asciiTheme="minorHAnsi" w:hAnsiTheme="minorHAnsi" w:cstheme="minorHAnsi"/>
                <w:b/>
                <w:sz w:val="20"/>
                <w:szCs w:val="20"/>
              </w:rPr>
              <w:t>Razvitost %</w:t>
            </w:r>
          </w:p>
          <w:p w:rsidR="00A4381F" w:rsidRPr="00DD2250" w:rsidRDefault="00A4381F" w:rsidP="0051329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D225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(izpolni ponudnik v ponudbi)</w:t>
            </w:r>
          </w:p>
        </w:tc>
      </w:tr>
      <w:tr w:rsidR="00A4381F" w:rsidRPr="002A773E" w:rsidTr="0051329F">
        <w:tc>
          <w:tcPr>
            <w:tcW w:w="875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</w:t>
            </w:r>
          </w:p>
        </w:tc>
        <w:tc>
          <w:tcPr>
            <w:tcW w:w="5663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Kartice stranke – fizične osebe (360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stopinjski </w:t>
            </w:r>
            <w:r w:rsidRPr="009C64CE">
              <w:rPr>
                <w:rFonts w:asciiTheme="minorHAnsi" w:hAnsiTheme="minorHAnsi" w:cstheme="minorHAnsi"/>
                <w:b/>
                <w:sz w:val="21"/>
                <w:szCs w:val="21"/>
              </w:rPr>
              <w:t>pogled na stranko) in vzpostavitev sinhronizacije podatkov</w:t>
            </w:r>
          </w:p>
        </w:tc>
        <w:tc>
          <w:tcPr>
            <w:tcW w:w="658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111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79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2A773E" w:rsidTr="0051329F">
        <w:tc>
          <w:tcPr>
            <w:tcW w:w="875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A.1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63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Vpogled in ažuriranje osnovnih podatkov o stranki, npr. ime, priimek, davčna številka, naslov, kontaktna številka,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email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naslov (podrobno se definira v sklopu izvedbe projekta). Upoštevati je potrebno, da se ti podatki nahajajo v Dynamics Navision sistemu, in jih je potrebno ustrezno ažurirati.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Vir podatkov: Dynamics Navision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Način prenosa podatkov iz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Navison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v CRM: Dogodek spremembe (nov zapisa ali posodobitev) v izvornem sistemu sproži sinhronizacijo na zahtevo. 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8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1111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9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4381F" w:rsidRPr="002A773E" w:rsidTr="0051329F">
        <w:tc>
          <w:tcPr>
            <w:tcW w:w="875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A.2</w:t>
            </w:r>
          </w:p>
        </w:tc>
        <w:tc>
          <w:tcPr>
            <w:tcW w:w="5663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b/>
                <w:sz w:val="21"/>
                <w:szCs w:val="21"/>
              </w:rPr>
              <w:t>Vpogled v merilna mesta stranke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Vpogled v podatke o merilnih mestih, kot so kdo je plačnik, lastnik ali naslovnik, številka merilnega mesta (podrobno se podatke definira v sklopu izvedbe projekta). Upoštevati je potrebno možnost, da ima posamezno merilno mesto lahko več kontaktnih številk, in da so lahko lastnik, plačnik in naslovnik 3 različne osebe.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 kartici partnerja bo prikazan seznam merilnih mest, kjer kontakt nastopa bodisi kot lastnik, plačnik ali naslovnik.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Vir podatkov: Obračun omrežnine (BIS)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Način prenosa podatkov iz Obračuna omrežnine v CRM: prenos z obdelavo 2 do 4 krat dnevno in proženje na podlagi dogodka na zahtevo iz izvornega sistema (določeni postopki zahtevajo zaradi odvisnosti med entitetami osvežitev v realnem času). Spremembe uparjanja kontaktov s partnerji in merilnimi mesti je potrebno objaviti direktno v BIS z uporabo spletne storitve. 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8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111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79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2A773E" w:rsidTr="0051329F">
        <w:trPr>
          <w:trHeight w:val="4273"/>
        </w:trPr>
        <w:tc>
          <w:tcPr>
            <w:tcW w:w="875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A.3</w:t>
            </w:r>
          </w:p>
        </w:tc>
        <w:tc>
          <w:tcPr>
            <w:tcW w:w="5663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b/>
                <w:sz w:val="21"/>
                <w:szCs w:val="21"/>
              </w:rPr>
              <w:t>Vpogled v terjatve do potrošnika in finančno zgodovino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 kartici stranke prikazani podatki o: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plačilni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zgodovini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odprtih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terjatvah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prikaz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saldakontov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finančni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podatki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o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uporabnikih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podjetja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bonitetne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ocene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strank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,.</w:t>
            </w:r>
            <w:proofErr w:type="gram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računi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plačila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,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prikaz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finančnega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stanja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stranke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ter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prikazan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podatek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ali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je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stranka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v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postopku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izterjave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izvršbe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ali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je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neplačnik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iz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sistema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Dynamics Navision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sinhroniziramo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podatke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po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ključu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–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davčna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številka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boniteta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strank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Sistem bo omogočal odpiranje mask dokumentov ERP sistema Navision (račun, dobropis,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bremepis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, opomin) direktno iz CRM sistema.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Vir podatkov: Dynamics Navision, GVIN integracija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Način prenosa podatkov: prenos na zahtevo v realnem času in z dovolj majhno periodo. </w:t>
            </w:r>
          </w:p>
        </w:tc>
        <w:tc>
          <w:tcPr>
            <w:tcW w:w="658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1111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79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2A773E" w:rsidTr="0051329F">
        <w:tc>
          <w:tcPr>
            <w:tcW w:w="875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A.4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63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Usklajeno spremljanje interakcije s stranko po vseh možnih kanalih na standardiziran način v CRM sistemu – osnovna opazovana enota je kontakt, z relacijo na merilno mesto: 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Telefonski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vmesnik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med CRM-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jem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telefonsko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centralo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– CTI,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poskrbel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da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telefonsko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številko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klicočega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povezal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s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kontaktom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v CRM in da se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ob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dohodnem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klicu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odprla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maska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kontakta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oz.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merilnega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mesta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. V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kolikor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telefonske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številke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klicatelja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vmesnik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ne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najde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odprl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vnosno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masko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za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zapis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vsebine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telefonskega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pogovora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Pri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tem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mora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vnosna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maska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omogočati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da se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izvede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tudi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ustrezno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uparjanje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z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merilnim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mestom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partnerjem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poslovnim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procesom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idr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. Na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kontaktu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razvidna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zgodovina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prejetih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klicev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vsak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opremljen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s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podatkom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o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agentu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je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sprejel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razlogu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čas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agentovim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komentarjem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).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Elektronska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pošta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integracija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CRM z Outlook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aplikacijo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– exchange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poštni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strežnik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. Na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kartici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partnerja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bodo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razvidna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vsa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prejeta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poslana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elektronska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sporočila</w:t>
            </w:r>
            <w:proofErr w:type="spellEnd"/>
            <w:proofErr w:type="gram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. )</w:t>
            </w:r>
            <w:proofErr w:type="gramEnd"/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Masovna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elektronska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pošta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masovno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pošiljanje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elektronskih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sporočil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kontaktom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so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naročeni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obveščanje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o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predvidenih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izklopih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omrežju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podlagi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zahteve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iz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modula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za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obveščanje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Poslana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sporočila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bodo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vidna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kartici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stranke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v CRM.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Dokumentni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sistem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integracija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sistema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EBA </w:t>
            </w:r>
            <w:proofErr w:type="gram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- 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obstoječi</w:t>
            </w:r>
            <w:proofErr w:type="spellEnd"/>
            <w:proofErr w:type="gram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sistem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za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hranjenje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digitalizirane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dokumentacije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–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dokumentacija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je del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komunikacije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med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partnerjem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C64C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in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Elektro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Gorenjska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način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da je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dokumentacija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vidna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kartici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partnerja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v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kronološkem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pregledu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SMS (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omogočeno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masovno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pošiljanje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sms-ov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iz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CRM-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ja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strankam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Elektro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Gorenjska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so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naročene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SMS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obveščanje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o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izklopih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Sistem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mora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omogočati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tudi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individualnega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pošiljanja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SMS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sporočil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iz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pogleda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stranke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Integracija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podprla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tudi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funkcijo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povratne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informacije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–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informacija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iz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strežnika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ali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je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bil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SMS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naslovniku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tudi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dostavljen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. Na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kartici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partnerja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razvidna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zgodovina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poslanih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SMS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sporočil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).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Interakcije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preko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spletnega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portala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aktivnost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stranke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spletni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strani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oziroma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EG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portalu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vidna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kartici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partnerja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v CRM).</w:t>
            </w:r>
          </w:p>
          <w:p w:rsidR="00A4381F" w:rsidRPr="009C64CE" w:rsidRDefault="00A4381F" w:rsidP="0051329F">
            <w:pPr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Uporabnik CRM ima na enem mestu možnost kronološkega pregleda vseh interakcij med partnerjem in Elektro Gorenjska iz pogleda na partnerja, merilnega mesta in poslovnega procesa.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8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1111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9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4381F" w:rsidRPr="002A773E" w:rsidTr="0051329F">
        <w:tc>
          <w:tcPr>
            <w:tcW w:w="875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A.5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63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b/>
                <w:sz w:val="21"/>
                <w:szCs w:val="21"/>
              </w:rPr>
              <w:t>Masovno obveščanje o predvidenih izklopih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Sistem mora omogočati možnost direktnega masovnega obveščanja uporabnikov omrežja ob prekinitvah na omrežju preko dveh kanalov: SMS in Elektronska pošta.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Uporabniki, ki so oziroma se bodo prijavili na obveščanje o predvidenih izklopih, bodo uvrščeni na seznam prejemnikov obvestil. 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Polega direktnega pošiljanja obvestil uporabniku mora sistem omogočati tudi obveščanje z objavo tiskanih obvestil na oglasnih deskah, spletni strani podjetja in radijskih postajah. Obvestila se objavijo na spletni strani podjetja z uporabo spletnih storitev. Obvestila na radijskih postajah se izvedejo s predpripravo e-poštnega sporočila, ki ga nato uporabnik pošlje. 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Sistem bo omogočil, da bodo na kartici stranke razvidna vsa sporočila, ki jih je le-ta prejela v zvezi z prekinitvami na omrežju.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Sistem mora omogočiti vnaprej pripravljene predloge obvestil ob izpadu omrežja. 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Sistem mora omogočati kreiranje obvestil tudi preko spletnih storitev iz drugih sistemov.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Sistem mora omogočati pripravo obvestil s predvidenim datumom pošiljanja (obvestila sistem pošljejo šele, ko je datum </w:t>
            </w:r>
            <w:r w:rsidRPr="009C64C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dosežen). Pri kreiranju obvestila se datum določi samodejno na podlagi datuma predvidenega izklopa in nastavitve roka za obveščanje (rok je pred definiran na nivoju predloge za obveščanje).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Vir podatkov za prijave na obveščanje: BIS Obračun omrežnine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Način prenosa podatkov: Objava sprememb se izvaja direktno v BIS preko spletnih storitev. Pri pripravi list za obveščanje je potrebno podatke osvežiti na zahtevo.</w:t>
            </w:r>
          </w:p>
        </w:tc>
        <w:tc>
          <w:tcPr>
            <w:tcW w:w="658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10</w:t>
            </w:r>
          </w:p>
        </w:tc>
        <w:tc>
          <w:tcPr>
            <w:tcW w:w="1111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79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A4381F" w:rsidRPr="002A773E" w:rsidTr="0051329F">
        <w:tc>
          <w:tcPr>
            <w:tcW w:w="875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A.6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63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b/>
                <w:sz w:val="21"/>
                <w:szCs w:val="21"/>
              </w:rPr>
              <w:t>Čakalne vrste za izbrane elektronske predale Elektro Gorenjska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Sistem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omogočal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prejemanje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odgovarjanje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elektronsko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pošto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iz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CRM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sistema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.  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Za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izbrane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integrirane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elektronske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predale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Elektro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Gorenjska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bodo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ustvarjene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čakalne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vrste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(queue) v CRM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sistemu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katere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bodo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prihajala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elektronska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sporočila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Iz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čakalne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vrste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možno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elektronsko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sporočilo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odpreti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nanj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odgovoriti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ga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dodeliti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zaposlenemu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ali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pa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ga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posredovati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Sistem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mora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nuditi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mehanizme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za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zagotavljanje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nivoja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storitev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iz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vidika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odzivnosti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alarmi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eskalacije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v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primeru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neodzivnosti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658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111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79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A4381F" w:rsidRPr="002A773E" w:rsidTr="0051329F">
        <w:trPr>
          <w:trHeight w:val="584"/>
        </w:trPr>
        <w:tc>
          <w:tcPr>
            <w:tcW w:w="875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A.7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63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b/>
                <w:sz w:val="21"/>
                <w:szCs w:val="21"/>
              </w:rPr>
              <w:t>Integriteta in zagotavljanje kakovosti podatkov v CRM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CRM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sistem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izvajal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kontrolo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vhodnih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podatkov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preprečeval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nastajanje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dupliciranih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zapisov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zagotovitev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vnosa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obveznih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podatkov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ter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zagotavljanje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pravilnosti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strukture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vnosa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podatkov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Sistem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mora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predvideti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kontrole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za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preverjanje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strukture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email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naslova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telefonskih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številk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z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oznako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Stacionarni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/GSM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Poskrbljeno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za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zunanjo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validacijo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podatkov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npr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. po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davčni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številki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partnerja</w:t>
            </w:r>
            <w:proofErr w:type="spellEnd"/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Za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zagotavljanje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točnosti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naslovov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merilnih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mest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CRM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integriran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z GURS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bazo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naslovov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hišnih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številk</w:t>
            </w:r>
            <w:proofErr w:type="spellEnd"/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Za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vsako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spremembo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kartici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stranke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ustvarjen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zapis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(log),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katerem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razvidno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kdo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je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naredil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spremembo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kdaj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kaj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se je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spremenilo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zabeležena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bo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stara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vrednost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in nova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vrednost</w:t>
            </w:r>
            <w:proofErr w:type="spellEnd"/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Sistem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naj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omogoča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različne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nivoje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ažuriranja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podatkov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vse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ali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pa le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nekatere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podatke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8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111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79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2A773E" w:rsidTr="0051329F">
        <w:trPr>
          <w:trHeight w:val="584"/>
        </w:trPr>
        <w:tc>
          <w:tcPr>
            <w:tcW w:w="875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A.8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63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Sistem CRM mora stremeti k stanju samo enega zapisa stranke, za kar mora obstajati funkcionalnost, ki opozarja uporabnike z ugotovljenimi možnimi dvojnimi vpisi ob vpisu nove osebe. Pravila za prepoznavanje dvojnikov je mogoče konfigurirati</w:t>
            </w:r>
          </w:p>
        </w:tc>
        <w:tc>
          <w:tcPr>
            <w:tcW w:w="658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111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9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4381F" w:rsidRPr="002A773E" w:rsidTr="0051329F">
        <w:trPr>
          <w:trHeight w:val="584"/>
        </w:trPr>
        <w:tc>
          <w:tcPr>
            <w:tcW w:w="875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A.11</w:t>
            </w:r>
          </w:p>
        </w:tc>
        <w:tc>
          <w:tcPr>
            <w:tcW w:w="5663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b/>
                <w:sz w:val="21"/>
                <w:szCs w:val="21"/>
              </w:rPr>
              <w:t>Vpogled v merilna mesta stranke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Stanje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porabe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merilnem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mestu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Vpisovanje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odčitka</w:t>
            </w:r>
            <w:proofErr w:type="spellEnd"/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Številka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soglasja</w:t>
            </w:r>
            <w:proofErr w:type="spellEnd"/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Stanje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merilnega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mesta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vklopljen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odklopljen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Obvestila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o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nedostopnosti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merilnega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mesta</w:t>
            </w:r>
            <w:proofErr w:type="spellEnd"/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Obvestila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o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odklopu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merilnega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mesta</w:t>
            </w:r>
            <w:proofErr w:type="spellEnd"/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Razlog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odklopa</w:t>
            </w:r>
            <w:proofErr w:type="spellEnd"/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CRM mora uporabniku omogočati vpogled in analizo porabe merilnega mesta za izbrano obdobje. Pri tem mora vmesnik omogočati tabelarični prikaz podatkov o porabi, ki so podprti z določenimi izračuni. V povezavi z zahtevo A.20 se v fazi analize določi najbolj primerno rešitev za analizo podatkov porabe oz. odčitkov.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Vpis odčitka je funkcija, ki se bo pokrivala izven sistema CRM, sistem CRM bo omogočal uporabo spletne storitve, ki bo klical sistem BIS, v katerega se bo vpisalo odčitek.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Vir podatkov: Obračun omrežnine (BIS), ŽCO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Način obdelave: kombinacija prenosa v realnem času in prenosa s periodo glede na naravo samih podatkov. Pri tem pod podatke v realnem času spadajo podatki, ki se nanašajo na napajano stanje merilnega mesta.  Za pridobivanje podatkov v realnem času iz izvornih sistemov in vpisovanje v izvorne sisteme so na voljo spletne storitve.</w:t>
            </w:r>
          </w:p>
        </w:tc>
        <w:tc>
          <w:tcPr>
            <w:tcW w:w="658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111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79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2A773E" w:rsidTr="0051329F">
        <w:trPr>
          <w:trHeight w:val="584"/>
        </w:trPr>
        <w:tc>
          <w:tcPr>
            <w:tcW w:w="875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A.12</w:t>
            </w:r>
          </w:p>
        </w:tc>
        <w:tc>
          <w:tcPr>
            <w:tcW w:w="5663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b/>
                <w:sz w:val="21"/>
                <w:szCs w:val="21"/>
              </w:rPr>
              <w:t>Dokumentni sistem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Vpogled v seznam kreiranih dokumentov za partnerja (ponudnik naj predstavi koncept integracije CRM z obstoječimi sistemi za hrambo in upravljanje elektronskih dokumentov in njegove nadgradnje oz. če obstoječi sistem ni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ok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potem predlog za novega, ki bo omogočal kvaliteten dokumentni sistem. 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Dokumenti so prikazani na kartici stranke/partnerja/poslovnega procesa/merilnega mesta, fizično pa se nahajajo v sistemu EBA.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Sistem mora omogočiti povezovanje posameznega dokumenta z merilnim mestom, partnerjem in poslovnim procesom. 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Za novo dokumentacijo bo urejeno samodejno povezovanje dokumentacije z merilnim mestom, za obstoječo </w:t>
            </w:r>
            <w:r w:rsidRPr="009C64C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dokumentacijo, ki je že v sistemu, pa bo omogočeno ročno povezovanje dokumenta s številko merilnega mesta. 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Sistem bo omogočal odpiranje EBA dokumentnega sistema direktno iz CRM sistema.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Vir podatkov: EBA dokumentni sistem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Način prenosa: prenos/vpogled v realnem času. Reference se prenesejo skupaj s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sinhronzacijo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partnerja/poslovni proces/merilno mesto. Dodajanje novih dokumentov v dokumentni sistem je možno z uporabo spletne storitve.</w:t>
            </w:r>
          </w:p>
        </w:tc>
        <w:tc>
          <w:tcPr>
            <w:tcW w:w="658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10</w:t>
            </w:r>
          </w:p>
        </w:tc>
        <w:tc>
          <w:tcPr>
            <w:tcW w:w="1111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79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2A773E" w:rsidTr="0051329F">
        <w:trPr>
          <w:trHeight w:val="584"/>
        </w:trPr>
        <w:tc>
          <w:tcPr>
            <w:tcW w:w="875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A.13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63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Vpogled v povezanost partnerja z merilnimi mesti. 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CRM omogoča vodenje povezav med kontakti (partnerji) in merilnimi mesti ter poslovnimi proces, kjer lahko isti partner zavzema različne vloge. 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Partner je lahko na merilnem mestu in/ali poslovnem procesu: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Lastnik</w:t>
            </w:r>
            <w:proofErr w:type="spellEnd"/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Plačnik</w:t>
            </w:r>
            <w:proofErr w:type="spellEnd"/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Naslovnik</w:t>
            </w:r>
            <w:proofErr w:type="spellEnd"/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Pooblaščenec</w:t>
            </w:r>
            <w:proofErr w:type="spellEnd"/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Investitor</w:t>
            </w:r>
            <w:proofErr w:type="spellEnd"/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Dobavitelj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prodaja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Dobavitelj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odkup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8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111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79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2A773E" w:rsidTr="0051329F">
        <w:trPr>
          <w:trHeight w:val="584"/>
        </w:trPr>
        <w:tc>
          <w:tcPr>
            <w:tcW w:w="875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A.14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63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Vpogled v dostope do osebnih podatkov na zapisih strank se beleži v skladu z Zakonom o varstvu osebnih podatkov (ZVOP-1 in novimi uredbami EU v zvezi z varstvom osebnih podatkov). Sistem CRM naj zagotavlja beleženje vpogledov v podatke v skladu z zahtevami zakona in v skladu z znanimi prihodnjimi spremembami zakona in možnost priprave poročil o vpogledu na zahtevo stranke.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Ponudnik naj pripravi oceno učinka v zvezi z varstvom podatkov v skladu z uredbo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(EU) </w:t>
            </w: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Splošna uredba o varstvu podatkov.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Sistem naj omogoča sledenje vsem spremembam podatkov potrošnika (kdo, kdaj, kaj je ažuriral, prejšnja vrednost, nova vrednost). Omogoča naj različne nivoje ažuriranja podatkov (vse podatke ali pa le nekatere podatke).</w:t>
            </w:r>
          </w:p>
        </w:tc>
        <w:tc>
          <w:tcPr>
            <w:tcW w:w="658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111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9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4381F" w:rsidRPr="002A773E" w:rsidTr="0051329F">
        <w:trPr>
          <w:trHeight w:val="584"/>
        </w:trPr>
        <w:tc>
          <w:tcPr>
            <w:tcW w:w="875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A.15</w:t>
            </w:r>
          </w:p>
        </w:tc>
        <w:tc>
          <w:tcPr>
            <w:tcW w:w="5663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b/>
                <w:sz w:val="21"/>
                <w:szCs w:val="21"/>
              </w:rPr>
              <w:t>Splošna uredba o varstvu podatkov (GDPR)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Soglasja so trenutno shranjena v drugem sistemu in jih je potrebno z integracijo pripeljati v CRM. Soglasja bodo vidna na kartici kontakta/partnerja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Sistem CRM mora omogočati naslednje funkcionalnosti: 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Vpogled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v evidence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sprememb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za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soglasja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za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tržno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komunikacijo</w:t>
            </w:r>
            <w:proofErr w:type="spellEnd"/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Obstajati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mora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informacija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s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katerimi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splošnimi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pogoji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je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soglasje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pridobljeno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dokaz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Centralno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definirani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zbrani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nivoji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soglasij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preko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vseh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stičnih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točk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s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stranko</w:t>
            </w:r>
            <w:proofErr w:type="spellEnd"/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Zgodovina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sprememb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soglasij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stranke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se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evidentira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vir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časovni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žig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status,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kanal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uporabnik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spremembe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).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Upoštevati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je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potrebno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, da je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Elektro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Gorenjska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soglasja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pridobil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skozi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različne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kanale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Shranjevanje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hranjenje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podatkov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skladno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plošno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uredbo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o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varstvu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podatkov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(GDPR)</w:t>
            </w:r>
          </w:p>
          <w:p w:rsidR="00A4381F" w:rsidRPr="009C64CE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Centralizacija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vseh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logov</w:t>
            </w:r>
            <w:proofErr w:type="spellEnd"/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Sistem mora omogočati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anonimizacijo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podatkov stranke na zahtevo stranke/partnerja (zahteva za izbris podatkov, ki jih hranimo o njem), zaradi zgodovine poslovanja pa teh podatkov ne moremo izbrisati iz sistema. 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Možnost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anonimizacije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podatkov skladno ali vpogleda/izvoza podatkov v strukturirani obliki – skladnost z ZVOP.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Ponudnik naj predstavi možnosti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anonimizacije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podatkov za potrebe pred-produkcijskih oz. testnih okolij.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Rešitev za vodenje evidence soglasij za komunikacijo oz. obveščanje že obstaja. Direktno urejanje soglasij iz drugih sistemov (kot je CRM) je podprto z uporabo spletnih storitev.</w:t>
            </w:r>
          </w:p>
        </w:tc>
        <w:tc>
          <w:tcPr>
            <w:tcW w:w="658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10</w:t>
            </w:r>
          </w:p>
        </w:tc>
        <w:tc>
          <w:tcPr>
            <w:tcW w:w="1111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79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2A773E" w:rsidTr="0051329F">
        <w:trPr>
          <w:trHeight w:val="584"/>
        </w:trPr>
        <w:tc>
          <w:tcPr>
            <w:tcW w:w="875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A.16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63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b/>
                <w:sz w:val="21"/>
                <w:szCs w:val="21"/>
              </w:rPr>
              <w:t>Pogled na kartico stranke glede na tip uporabnika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Sistem mora omogočati različne poglede na kartico stranke za različne tipe in skupine uporabnikov. CRM mora omogočiti različne </w:t>
            </w:r>
            <w:proofErr w:type="spellStart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konfigurabilne</w:t>
            </w:r>
            <w:proofErr w:type="spellEnd"/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 forme za različne uporabniške vloge za isti zapis.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 xml:space="preserve">Glede na vlogo, ki jo posameznik opravlja v podjetju, se bodo temu primerno uredile pravice oziroma prikazovanje podatkov v CRM. 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Pri omejevanju dostopa do podatkov, se bomo sklicevali na to, ali določen tip uporabnikov za opravljanje svojega dela potrebuje specifičen podatek ali pa ga ne potrebuje. </w:t>
            </w:r>
          </w:p>
        </w:tc>
        <w:tc>
          <w:tcPr>
            <w:tcW w:w="658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1111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79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2A773E" w:rsidTr="0051329F">
        <w:trPr>
          <w:trHeight w:val="584"/>
        </w:trPr>
        <w:tc>
          <w:tcPr>
            <w:tcW w:w="875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A.17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63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b/>
                <w:sz w:val="21"/>
                <w:szCs w:val="21"/>
              </w:rPr>
              <w:t>Vpogled v poslovne procese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Sistem mora omogočati vpogled v poslovne procese (postopke), ki so vodeni v zvezi s stranko v kronološkem zaporedju. Razvidno mora biti v kateri fazi (statusu oz. koraku) se nahaja poslovni proces in katere faze še čakajo stranko do zaključka postopka. V okviru projekta je potrebno podpreti vpogled v proces priključevanja (podrobnosti v poglavju 6)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8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111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79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2A773E" w:rsidTr="0051329F">
        <w:trPr>
          <w:trHeight w:val="584"/>
        </w:trPr>
        <w:tc>
          <w:tcPr>
            <w:tcW w:w="875" w:type="dxa"/>
          </w:tcPr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C64CE">
              <w:rPr>
                <w:rFonts w:asciiTheme="minorHAnsi" w:hAnsiTheme="minorHAnsi" w:cstheme="minorHAnsi"/>
                <w:sz w:val="21"/>
                <w:szCs w:val="21"/>
              </w:rPr>
              <w:t>A.18</w:t>
            </w: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C64CE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63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Masovno obveščanje ob izpadih omrežja   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Poleg obveščanja o predvidenih izklopih mora sistem omogočati tudi obveščanje o nenačrtovanih izklopih na zahtevo operaterjev. Pri tem operater v SCADI označi poročila, ki so kandidati za obveščanje. Podatki prevzeti iz sistema SCADA 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Vir podatkov: SCADA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Način prenosa podatkov: Prenos/vpogled v realnem času na zahtevo.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58" w:type="dxa"/>
          </w:tcPr>
          <w:p w:rsidR="00A4381F" w:rsidRPr="0093286C" w:rsidRDefault="00A4381F" w:rsidP="0051329F">
            <w:pPr>
              <w:jc w:val="both"/>
              <w:rPr>
                <w:rStyle w:val="Pripombasklic"/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1111" w:type="dxa"/>
          </w:tcPr>
          <w:p w:rsidR="00A4381F" w:rsidRPr="0093286C" w:rsidRDefault="00A4381F" w:rsidP="0051329F">
            <w:pPr>
              <w:jc w:val="both"/>
              <w:rPr>
                <w:rStyle w:val="Pripombasklic"/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9" w:type="dxa"/>
          </w:tcPr>
          <w:p w:rsidR="00A4381F" w:rsidRPr="0093286C" w:rsidRDefault="00A4381F" w:rsidP="0051329F">
            <w:pPr>
              <w:jc w:val="both"/>
              <w:rPr>
                <w:rStyle w:val="Pripombasklic"/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4381F" w:rsidRPr="002A773E" w:rsidTr="0051329F">
        <w:trPr>
          <w:trHeight w:val="584"/>
        </w:trPr>
        <w:tc>
          <w:tcPr>
            <w:tcW w:w="875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A.19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63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b/>
                <w:sz w:val="21"/>
                <w:szCs w:val="21"/>
              </w:rPr>
              <w:t>Priprava seznamov za masovno obveščanje na zahtevo in filtriranje na podlagi sezama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Sistem mora omogočati pripravo poizvedb poleg filtriranja preko atributov tudi: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- iskanje na podlagi relacije z energetskimi sredstvi, ki se jih identificira z uporabo funkcije pretoka (sledenja) v sistemu GIS.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- iskanje z liste izven sistema v datoteki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excelu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), ki jo uporabnik nato uvozi v CRM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npr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: Spodbujanje prehoda iz ET na VT, MT in Pozivanje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prekoračiteljev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priključne moči).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8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1111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79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2A773E" w:rsidTr="0051329F">
        <w:trPr>
          <w:trHeight w:val="584"/>
        </w:trPr>
        <w:tc>
          <w:tcPr>
            <w:tcW w:w="875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A.21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63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CRM mora omogočiti evidentiranje spremembe podatkov v revizijski sledi (prejšnja vrednost, nova vrednost, kdo je spreminjal podatek in kdaj). Kateri podatki se vodijo v revizijski sledi, je predmet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parametrizacije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CRM sistema. </w:t>
            </w:r>
          </w:p>
          <w:p w:rsidR="00A4381F" w:rsidRPr="0093286C" w:rsidRDefault="00A4381F" w:rsidP="0051329F">
            <w:pPr>
              <w:pStyle w:val="Pripombabesedil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58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111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79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4381F" w:rsidRPr="002A773E" w:rsidTr="0051329F">
        <w:trPr>
          <w:trHeight w:val="584"/>
        </w:trPr>
        <w:tc>
          <w:tcPr>
            <w:tcW w:w="875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A.22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63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b/>
                <w:sz w:val="21"/>
                <w:szCs w:val="21"/>
              </w:rPr>
              <w:t>Aplikacija za pošiljanje obvestil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Potrebno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je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zgotoviti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aplikacijo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sistem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za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pošiljanje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obvestil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obliki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SMS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sporočil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elektronske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pošte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Iz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podatkov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v CRM mora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biti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razviden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status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pošiljanja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obvestila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pripadajočimi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časovnimi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značkami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A4381F" w:rsidRPr="0093286C" w:rsidRDefault="00A4381F" w:rsidP="0051329F">
            <w:pPr>
              <w:pStyle w:val="Odstavekseznama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58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1111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979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:rsidR="00A4381F" w:rsidRPr="0093286C" w:rsidRDefault="00A4381F" w:rsidP="00A4381F">
      <w:pPr>
        <w:rPr>
          <w:rFonts w:asciiTheme="minorHAnsi" w:hAnsiTheme="minorHAnsi" w:cstheme="minorHAnsi"/>
          <w:sz w:val="21"/>
          <w:szCs w:val="21"/>
        </w:rPr>
      </w:pPr>
    </w:p>
    <w:p w:rsidR="00A4381F" w:rsidRPr="0093286C" w:rsidRDefault="00A4381F" w:rsidP="00A4381F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16"/>
        <w:gridCol w:w="5146"/>
        <w:gridCol w:w="709"/>
        <w:gridCol w:w="1275"/>
        <w:gridCol w:w="1276"/>
      </w:tblGrid>
      <w:tr w:rsidR="00A4381F" w:rsidRPr="00E8094A" w:rsidTr="0051329F">
        <w:trPr>
          <w:tblHeader/>
        </w:trPr>
        <w:tc>
          <w:tcPr>
            <w:tcW w:w="916" w:type="dxa"/>
            <w:shd w:val="clear" w:color="auto" w:fill="D9D9D9" w:themeFill="background1" w:themeFillShade="D9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Oznaka zahteve</w:t>
            </w:r>
          </w:p>
        </w:tc>
        <w:tc>
          <w:tcPr>
            <w:tcW w:w="5146" w:type="dxa"/>
            <w:shd w:val="clear" w:color="auto" w:fill="D9D9D9" w:themeFill="background1" w:themeFillShade="D9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Funkcionalna zahteva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Utež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Okvirna razvitost %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Razvitost %</w:t>
            </w:r>
          </w:p>
        </w:tc>
      </w:tr>
      <w:tr w:rsidR="00A4381F" w:rsidRPr="00E8094A" w:rsidTr="0051329F">
        <w:tc>
          <w:tcPr>
            <w:tcW w:w="91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</w:t>
            </w:r>
          </w:p>
        </w:tc>
        <w:tc>
          <w:tcPr>
            <w:tcW w:w="514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b/>
                <w:sz w:val="21"/>
                <w:szCs w:val="21"/>
              </w:rPr>
              <w:t>Podpora za kontaktni center in upravljanje zahtevkov strank</w:t>
            </w:r>
          </w:p>
        </w:tc>
        <w:tc>
          <w:tcPr>
            <w:tcW w:w="709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E8094A" w:rsidTr="0051329F">
        <w:tc>
          <w:tcPr>
            <w:tcW w:w="91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B.1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4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b/>
                <w:sz w:val="21"/>
                <w:szCs w:val="21"/>
              </w:rPr>
              <w:t>Pregled dela agenta klicnega centra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Agentu klicnega centra morajo biti za ves čas svojega dela na voljo naslednje podatki: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Status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aktiven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neaktiven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Prikaz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stanja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(s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govori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kako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dolgo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traja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pogovor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 to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osebo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Podatki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svojem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delu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opravljenih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klicev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zgrešenih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klicev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izhodnih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klicev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seštevek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ur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opravljenih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pogovorov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povprečna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dolžina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Dashboard,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kjer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agent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vidi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podatke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vseh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čakalne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vrste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live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pregled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statusov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drugih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agentov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klicnem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centru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Avtomatsko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osveževanje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vmesnika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prikazuje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statuse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agentov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realnem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času</w:t>
            </w:r>
            <w:proofErr w:type="spellEnd"/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Ponudnik naj pri pripravi predloga rešitve upošteva trenutno tehnologijo, ki jo uporablja kontaktni center. V kolikor glede na zahteve meni, da tehnologija ne more zadostiti potrebam, naj ustrezno predlaga drugo rešitev. </w:t>
            </w:r>
          </w:p>
        </w:tc>
        <w:tc>
          <w:tcPr>
            <w:tcW w:w="709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275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E8094A" w:rsidTr="0051329F">
        <w:tc>
          <w:tcPr>
            <w:tcW w:w="91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B.2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4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b/>
                <w:sz w:val="21"/>
                <w:szCs w:val="21"/>
              </w:rPr>
              <w:t>Statusi in prijava agentov klicnega centra v sistem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Sistem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mora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omogočati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avtomatsko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prijavo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Sistem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mora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omogočati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avtomatski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prehod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v status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Aktiven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(agent mora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postati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samodejno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aktiven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ko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zaključi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ustrezno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opremi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aktivnost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z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dodatnimi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podatki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jo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zaključi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b/>
                <w:sz w:val="21"/>
                <w:szCs w:val="21"/>
              </w:rPr>
              <w:t>Statusi: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Aktiven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čas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med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aktivnim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pogovorom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Neaktiven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čas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ko je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voljo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za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prevzem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novega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Na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odmoru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Ne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moti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Vnos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čas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po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koncu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pogovora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zaključku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oziroma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maske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1275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E8094A" w:rsidTr="0051329F">
        <w:tc>
          <w:tcPr>
            <w:tcW w:w="91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B.3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4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b/>
                <w:sz w:val="21"/>
                <w:szCs w:val="21"/>
              </w:rPr>
              <w:t>Vhod v proces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1) Agent klicnega centra sprejme dohodni klic stranke, ki je klicala na kontaktno številko podjetja: 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a) 080 30 19 ali +386 4 20 83 333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Izbira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1: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števci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elektrike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Izbira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2: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odprava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težav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oskrbi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z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elektriko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Izbira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3: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priključevanje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objektov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sprememba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merilnem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mestu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obračun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omrežnine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Izbira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4: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Splošne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informacije</w:t>
            </w:r>
            <w:proofErr w:type="spellEnd"/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b) Stranke imajo možnost klicati tudi na direktne telefonske številke Elektro Gorenjska: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Števci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elektrike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: +386 4 20 83 145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Odprava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težav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oskrbi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z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elektriko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: +386 4 20 83 148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Priključevanje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objektov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sprememba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merilnem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mestu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obračun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omrežnine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: +386 4 20 83 146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Splošne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informacije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: +386 4 20 83 147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Odklopi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: +386 4 20 83 251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Saldakonti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: +386 4 20 83 </w:t>
            </w:r>
            <w:r w:rsidRPr="0093286C">
              <w:rPr>
                <w:rFonts w:asciiTheme="minorHAnsi" w:hAnsiTheme="minorHAnsi" w:cstheme="minorHAnsi"/>
                <w:color w:val="444444"/>
                <w:sz w:val="21"/>
                <w:szCs w:val="21"/>
                <w:shd w:val="clear" w:color="auto" w:fill="FFFFFF"/>
              </w:rPr>
              <w:t>550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2) Odgovarjanje na prejeto elektronsko sporočilo iz čakalne vrste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3) Agent klicnega centra opravi odhodni klic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Obravnava na vseh kanalih mora biti v procesu enovita. Različen je samo vhod, to je način, kako je Elektro Gorenjska s stranko prišla v kontakt.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Sistem mora omogočati spreminjanje in dodajanje različni vhodov oz. skupin, kot je na primer nova izbira oz. direktna telefonska številk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275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E8094A" w:rsidTr="0051329F">
        <w:tc>
          <w:tcPr>
            <w:tcW w:w="91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B.4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4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Omogočena mora biti CRM maska z integriranim vmesnikom za telefonijo. Agent klicnega centra mora imeti možnost skrivanja telefonskega vmesnika na gumb. Programska oprema telefonskega vmesnika mora biti kompatibi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l</w:t>
            </w: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na z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online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ali on-premise CRM sistemom.</w:t>
            </w:r>
          </w:p>
        </w:tc>
        <w:tc>
          <w:tcPr>
            <w:tcW w:w="709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275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4381F" w:rsidRPr="00E8094A" w:rsidTr="0051329F">
        <w:tc>
          <w:tcPr>
            <w:tcW w:w="91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B.6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4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b/>
                <w:sz w:val="21"/>
                <w:szCs w:val="21"/>
              </w:rPr>
              <w:t>Podpora dohodnim klicem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 klicnega centra sprejme dohodni klic na eno izmed številk klicnega centra: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vmesnik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(CTI) se mora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ob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dohodnem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samodejno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maksimizirati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kolikor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je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bil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prvotno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minimiziran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odpre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maska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za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dohodni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(360 Customer View)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je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stranka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poklicala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podjetje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tako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da je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izbrala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IVR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opcijo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ali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fiksno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izbor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od 1-4),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agentu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klicnega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centra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razvidno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katero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je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klicala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stranka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stranka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kliče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ponovno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za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isto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področje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naj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se ji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dodeli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istega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kolikor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je ta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voljo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Uparjanje številke </w:t>
            </w:r>
            <w:proofErr w:type="spellStart"/>
            <w:r w:rsidRPr="0093286C">
              <w:rPr>
                <w:rFonts w:asciiTheme="minorHAnsi" w:hAnsiTheme="minorHAnsi" w:cstheme="minorHAnsi"/>
                <w:b/>
                <w:sz w:val="21"/>
                <w:szCs w:val="21"/>
              </w:rPr>
              <w:t>klicočega</w:t>
            </w:r>
            <w:proofErr w:type="spellEnd"/>
            <w:r w:rsidRPr="0093286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z zapisom v sistemu: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vmesnik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mora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omogočati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uparjanje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po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različnih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entitetah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kontakt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opravilo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aktivnost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Entitete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po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katerih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izvaja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uparjanje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morajo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biti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prosto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konfigurabilne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nabor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entitet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izbere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administrator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telefonskega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vmesnika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Sistem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mora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omogočati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hitro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uparjanje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številke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po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več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sto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tisoč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zapisih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sistemu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obstaja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1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zapis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po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katerem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upari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številka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klicočega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se ta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zapis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samodejno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odpre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je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klicatelj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torej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znan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maska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dohodnega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odpre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ta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zapis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obstaja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sistemu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več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zapisov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z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enako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prikaže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seznam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vseh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zapisov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ujemajo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klicočega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vsak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zapis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seznamu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mora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biti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enolično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označen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način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da agent 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klicnem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centru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takoj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razbere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za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katero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vrsto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zapisa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gre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–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kontakt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opravilo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aktivnost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V primeru, ko klicatelj ni znan (v sistemu še ne obstaja zapis, ki ima enako telefonsko številko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klicočega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), se avtomatsko odpre maska entitete »telefonski klic«, ki omogoča kreiranje in povezovanje nadrejenih entitet – kontakt.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Zaključevanje telefonskega klica 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Funkcionalnost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CRM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omogoča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da agent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klasificira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stranke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prednastavljeni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zaključki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klasifikacije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klicev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glede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bazo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znanja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kjer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nahajajo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osnovna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najpogostejša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vprašanja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strank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postopki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Za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vsak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zaključen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se v CRM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avtomatsko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ustvari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aktivnost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»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«,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katero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zabeležijo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osnovni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podatki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smer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klicatelj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čas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datum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trajanje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klasifikacija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–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preddefinirani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zaključki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). 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Na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posamezni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ima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agent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zabeležke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komentarja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oziroma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opombe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Izbran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zaključek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zabeleži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tekstovno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polje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primeru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prevezave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zabeleži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kam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se je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prevezal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razlog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prevezave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primeru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da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predčasno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prekine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naredi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povratni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iz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osnovne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maske</w:t>
            </w:r>
            <w:proofErr w:type="spellEnd"/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 zaključku klica je agent v »administrativnem stanju« - vnos (v tem načinu dokonča svoje delo – vnos reklamacije, zabeležke o klicu, tiskanje dokumentov). Po zaključku maske, se vrne v aktivni način, kjer je pripravljen prevzeti nov klic.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Sama aktivnost klica oz. strankina zahteva lahko tudi ni rešljiva takoj. V tem primeru mora sistem omogočati, da lahko določi tudi rok in odgovorno osebo za rešitev. Pri tem mora sistem nuditi podporo za spremljanje in pravočasno reševanje takšnih zahtev.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CRM mora omogočati možnost avtomatičnega preklapljanja agenta v način pripravljenosti, po določenem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preddefiniranem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obdobju (v katerem lahko opravi administracijo).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Za vsak zaključen klic je možno ustvariti dodaten zapis za določene entitete s klikom na gumb znotraj telefonskega vmesnika. Nabor entitet je prosto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konfigurabilen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1275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E8094A" w:rsidTr="0051329F">
        <w:tc>
          <w:tcPr>
            <w:tcW w:w="91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B.7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4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b/>
                <w:sz w:val="21"/>
                <w:szCs w:val="21"/>
              </w:rPr>
              <w:t>Telefonski imenik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Sistem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mora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omogočiti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enostaven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dostop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do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imenika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z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neomejenim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vnosom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kontaktov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iskanja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»search as you type«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iz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imenika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z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enim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klikom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slepe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prevezave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uvida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stanje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kontaktov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imeniku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zaseden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aktiven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neaktiven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pregleda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zgodovine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klicev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za 7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nazaj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konfiguracije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seznama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»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priljubljenih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kontaktov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«,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omogoča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hitro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najpogosteje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uporabljenih</w:t>
            </w:r>
            <w:proofErr w:type="spellEnd"/>
          </w:p>
        </w:tc>
        <w:tc>
          <w:tcPr>
            <w:tcW w:w="709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275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E8094A" w:rsidTr="0051329F">
        <w:tc>
          <w:tcPr>
            <w:tcW w:w="91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B.8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4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b/>
                <w:sz w:val="21"/>
                <w:szCs w:val="21"/>
              </w:rPr>
              <w:t>Klikni in kliči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S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klikom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katerokoli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v CRM mora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biti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omogočeno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klicanje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S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klikom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katerokoli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avtomatično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ustvari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aktivnost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»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«,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kamor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zabeležijo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osnovni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podatki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smer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klicatelj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čas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in datum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trajanje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Vmesnik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mora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imeti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da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uporabnik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prepreči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avtomatski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nastanek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zapisa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aktivnost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(»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«),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meni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da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takšen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zapis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nima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nobene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poslovne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vrednosti</w:t>
            </w:r>
            <w:proofErr w:type="spellEnd"/>
          </w:p>
          <w:p w:rsidR="00A4381F" w:rsidRPr="0093286C" w:rsidRDefault="00A4381F" w:rsidP="0051329F">
            <w:pPr>
              <w:ind w:left="36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275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E8094A" w:rsidTr="0051329F">
        <w:tc>
          <w:tcPr>
            <w:tcW w:w="91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B.9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4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Rešitev CRM naj v povezavi s tehnologijo KC omogoči možnost povratnih klicev za take klice, kjer je stranka prekinila pred vzpostavitvijo telefonske zveze (npr. zaradi predolgega čakanja na prostega operaterja)</w:t>
            </w:r>
          </w:p>
        </w:tc>
        <w:tc>
          <w:tcPr>
            <w:tcW w:w="709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1275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4381F" w:rsidRPr="00E8094A" w:rsidTr="0051329F">
        <w:tc>
          <w:tcPr>
            <w:tcW w:w="91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B.10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4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Kontrole za telefonski vmesnik (CTI)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Gumb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»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Javi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se«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omogoča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prevzeti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Gumb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»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Svetovanje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«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omogoča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da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da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čakanje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pokliče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drugo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osebo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za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informacijo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ko to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informacijo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dobi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sprosti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stranko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in ji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poda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prejeto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informacijo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Gumb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»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Preveži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«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omogoča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prevezavo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drugo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ali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osebo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jo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izbere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iz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CRM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sistema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ob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prevezavi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zabeleži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prevezava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–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informacije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jih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je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vpisal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agent so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vidne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tudi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osebi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kateri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je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bil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prevezan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Sistem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mora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omogočati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večkratno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prevezavo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primeru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da je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prvo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posredovanje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neuspešno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ker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je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npr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številka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katero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prevezujemo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zasedena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ali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pa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prevezana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oseba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prava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idr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.).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Sistem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mora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nuditi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mehanizem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zagotavljanje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kakovosti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storitve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Ponudnik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naj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predlaga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skladu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z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dobrimi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praksami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kako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preprečiti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nezaželene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dogodke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so: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napačne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prevezave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večkratne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prevezave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nepotrebna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čakanja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idr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slepe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prevezave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(blind transfer)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prevezave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z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izbiro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naslovnika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imeniku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Gumb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»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Konferenca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« -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omogoča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da 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vzpostavljeno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povezavo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stranko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doda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dodatno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osebo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Gumb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»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Čakanje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Sprosti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« -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omogoča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da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postavi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čakanje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nato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ponovno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prevzame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Gumb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»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Utišaj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« -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omogoča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da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utiša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oziroma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utišanje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prekine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Gumb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»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Zavrni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« -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omogoča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odklanjanje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vmesnik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mora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omogočati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delo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agentom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tudi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oddaljenega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dostopa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uporaba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izven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lokalnega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omrežja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10</w:t>
            </w:r>
          </w:p>
        </w:tc>
        <w:tc>
          <w:tcPr>
            <w:tcW w:w="1275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E8094A" w:rsidTr="0051329F">
        <w:tc>
          <w:tcPr>
            <w:tcW w:w="91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B.12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4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b/>
                <w:sz w:val="21"/>
                <w:szCs w:val="21"/>
              </w:rPr>
              <w:t>Poročila o uspešnosti aktivnosti klicnega centra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Sistem mora omogočati pripravo dnevnih, tedenskih, mesečnih in letnih poročil. 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po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posameznem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klicnega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centra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po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čakalnih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vrstah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Poročilo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prejetih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količina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klicev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Poročilo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času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trajanja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klicev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povprečni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čas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povprečni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čas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vseh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klicev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opravljenih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odhodnih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klicev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Poročilo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posameznih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statusih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agentov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Poročilo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odpadlih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klicih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Poročilo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doseženem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odstotku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ravni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strežbe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(service level)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Koliko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od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nesprejetih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klicev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je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bilo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nazaj</w:t>
            </w:r>
            <w:proofErr w:type="spellEnd"/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Podatki o klicih morajo biti shranjeni na način, da je mogoče uporabiti vsak podatek kot samostojno informacijo. Metapodatki posamičnega telefonskega klica so: 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Kdo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je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izvedel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Kdo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je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bil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klican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Kdaj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se je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pogovor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začel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Kdaj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se je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pogovor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končal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Trajanje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pogovora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Zabeležke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(note)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klicu</w:t>
            </w:r>
            <w:proofErr w:type="spellEnd"/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 nadzorni plošči mora biti razvidna čakalna vrsta klicev vsakemu agentu.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Sistem mora omogočati enostavno pripravo/pridobitev podatkov za razna dodatna priložnostna poročanja. Ponudnik naj predstavi možnosti za pripravo poročil.</w:t>
            </w:r>
          </w:p>
        </w:tc>
        <w:tc>
          <w:tcPr>
            <w:tcW w:w="709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10</w:t>
            </w:r>
          </w:p>
        </w:tc>
        <w:tc>
          <w:tcPr>
            <w:tcW w:w="1275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E8094A" w:rsidTr="0051329F">
        <w:tc>
          <w:tcPr>
            <w:tcW w:w="91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B.13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46" w:type="dxa"/>
          </w:tcPr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b/>
                <w:sz w:val="21"/>
                <w:szCs w:val="21"/>
              </w:rPr>
              <w:t>Podpora procesu odhodnih klicev</w:t>
            </w:r>
          </w:p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Sistem mora omogočati, da uporabnik s klikom iz maske stranke začne s klicem. Upoštevati je potrebno, da ima lahko zapis stranke več telefonskih številk,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klicoči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pa lahko med njimi izbira.</w:t>
            </w:r>
          </w:p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Sistem mora omogočati tudi možnost izvajanja avtomatskih odhodnih klicev, v primeru izvajanja masovnih klicev iz seznama strank.</w:t>
            </w:r>
          </w:p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Sistem izvajanja avtomatiziranih odhodnih klicev mora omogočati: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Nalaganje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seznama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klicev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vmesnik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za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avtomatsko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(automatic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dialer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Samodejno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nalaganje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CRM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maske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npr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prodajna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priložnost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) 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predogled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klicnega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centra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Konfigurabilno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nastavljanje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časa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predogleda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CRM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forme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Avtomatsko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po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različnih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številkah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formi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kontaktu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imamo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lahko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primer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domačo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mobilno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poslovno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Avtomatsko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zaznavanje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zapisovanje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stanja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odziva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zasedeno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napačna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številka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neveljavna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številka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Avtomatsko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logiranje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časa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trajanja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ustvarjanje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zapisa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»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«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aktivnost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osebi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Avtomatsko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prestavljanje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klicev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drug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časovni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termin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primeru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da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odzval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ali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bil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dosegljiv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Konfiguracija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termina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ponovnih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klicev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sistem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npr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ponovno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kliče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številke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po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treh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urah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Konfiguracija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ponovnih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klicev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tako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da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ponovno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dodelijo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je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prvotno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izvedel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Konfiguracija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povratnih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klicev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stranka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odzvala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iz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klicnega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centra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)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tako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da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prioritetno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dodelijo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je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prvotno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izvedel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dodajanja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opomb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zabeležk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strani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KC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nastavitve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avtomatskega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povratnega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določitev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datuma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ure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konfiguracije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časa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agent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potrebuje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za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vpis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podatkov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v CRM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konfiguriranja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avtomatskih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ponovitev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primeru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da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številka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dosegljiva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ali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je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zasedena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pavziranja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proženja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avtomatskega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klicanja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za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vsakega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čas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malice,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sestankov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Poročila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avtomatskih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znotraj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posameznih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kampanj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so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voljo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znotraj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CRM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sistema</w:t>
            </w:r>
            <w:proofErr w:type="spellEnd"/>
          </w:p>
        </w:tc>
        <w:tc>
          <w:tcPr>
            <w:tcW w:w="709" w:type="dxa"/>
          </w:tcPr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1275" w:type="dxa"/>
          </w:tcPr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E8094A" w:rsidTr="0051329F">
        <w:tc>
          <w:tcPr>
            <w:tcW w:w="91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B.14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46" w:type="dxa"/>
          </w:tcPr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b/>
                <w:sz w:val="21"/>
                <w:szCs w:val="21"/>
              </w:rPr>
              <w:t>Klicne kampanje – odhodni klici</w:t>
            </w:r>
          </w:p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Osnova za izvajanje odhodnih klicev so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predpripravljene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kampanje – seznami strank. </w:t>
            </w:r>
          </w:p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Ko se agent v klicnem centru prijavi v sistem, mu je razvidno na katere kampanje je bil dodeljen. </w:t>
            </w:r>
          </w:p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Agentu se odpre maska, kjer je zapisano ime kampanje in osnovni podatki o klicanemu.</w:t>
            </w:r>
          </w:p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CRM mora podpreti naslednje funkcionalnosti: 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dodajanja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agentov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posamezne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kampanje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liste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dodelitve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kampanje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enemu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ali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večim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agentom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dodeljevanja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seznamov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posameznemu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timu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enostavnega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ustvarjanja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zasebnih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kampanj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namenjenih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samo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enemu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agentu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enostavnega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dodajanja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posameznih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klicev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zasebno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kampanjo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določanja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prioritete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za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posamezne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liste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prioriteta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klicev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–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npr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najvišja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prioriteta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dohodni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ko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dohodnih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klicev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kliče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odhodne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kampanjske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mešanja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dohodnih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odhodnih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klicev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Enostavno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dodajanja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odvzemanje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v in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iz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kampanje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Enostavna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deaktivacija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kampanje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liste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</w:tcPr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275" w:type="dxa"/>
          </w:tcPr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E8094A" w:rsidTr="0051329F">
        <w:tc>
          <w:tcPr>
            <w:tcW w:w="91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B.15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46" w:type="dxa"/>
          </w:tcPr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CRM mora omogočiti pošiljanje elektronske pošte in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sms</w:t>
            </w: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sporočil stranki iz sistema oz. preko dodatne aplikacije (zahteva A.22):</w:t>
            </w:r>
          </w:p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a) pošiljanje in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</w:t>
            </w: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vidualnih</w:t>
            </w: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elektronskih in sms sporočil</w:t>
            </w:r>
          </w:p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b) pošiljanje masovnih elektronskih in sms sporočil </w:t>
            </w:r>
          </w:p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Sistem mora podpreti funkcionalnost povratne informacije o tem, ali so bili masovni sms-i in elektronska sporočila prejemnikom tudi dejansko dostavljeni.</w:t>
            </w:r>
          </w:p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CRM sistem mora omogočiti sprejemanje in odgovarjanje na elektronsko pošto iz CRM aplikacije. </w:t>
            </w:r>
          </w:p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Pošiljanje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dokumentov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strankam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razni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obrazci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zahtevki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predračuni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) s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personalizacijo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Dokumenti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izdelajo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iz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predpripravljenih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predlog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Pošiljanje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avtomatizira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in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beleži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v CRM v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zgodovini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interakcije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s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stranko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.</w:t>
            </w:r>
          </w:p>
        </w:tc>
        <w:tc>
          <w:tcPr>
            <w:tcW w:w="709" w:type="dxa"/>
          </w:tcPr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1275" w:type="dxa"/>
          </w:tcPr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6" w:type="dxa"/>
          </w:tcPr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4381F" w:rsidRPr="00E8094A" w:rsidTr="0051329F">
        <w:tc>
          <w:tcPr>
            <w:tcW w:w="91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B.16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46" w:type="dxa"/>
          </w:tcPr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b/>
                <w:sz w:val="21"/>
                <w:szCs w:val="21"/>
              </w:rPr>
              <w:t>API prilagoditve</w:t>
            </w:r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API mora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vsebovati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sprožilce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metode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omogočajo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dodelave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obstoječih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funkcionalnosti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in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razvoj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novih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funkcionalnosti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prilagajanja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entitet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potrebnih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za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telefonski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vmesnik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način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da se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lahko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dodajajo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različne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akcije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temeljijo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poslovnih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pravilih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proženja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zunanjih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aplikacij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ob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določenih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zaključkih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klicev</w:t>
            </w:r>
            <w:proofErr w:type="spellEnd"/>
          </w:p>
          <w:p w:rsidR="00A4381F" w:rsidRPr="0093286C" w:rsidRDefault="00A4381F" w:rsidP="00A4381F">
            <w:pPr>
              <w:pStyle w:val="Odstavekseznama"/>
              <w:numPr>
                <w:ilvl w:val="0"/>
                <w:numId w:val="1"/>
              </w:numPr>
              <w:tabs>
                <w:tab w:val="left" w:pos="106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Možnost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odpiranja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več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CRM mask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hkrati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(za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lažje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delo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agentov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klicnega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centra</w:t>
            </w:r>
            <w:proofErr w:type="spellEnd"/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  <w:p w:rsidR="00A4381F" w:rsidRPr="0093286C" w:rsidRDefault="00A4381F" w:rsidP="0051329F">
            <w:pPr>
              <w:tabs>
                <w:tab w:val="left" w:pos="1068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</w:tcPr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275" w:type="dxa"/>
          </w:tcPr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4381F" w:rsidRPr="00E8094A" w:rsidTr="0051329F">
        <w:tc>
          <w:tcPr>
            <w:tcW w:w="916" w:type="dxa"/>
          </w:tcPr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B.21</w:t>
            </w:r>
          </w:p>
          <w:p w:rsidR="00A4381F" w:rsidRPr="0093286C" w:rsidRDefault="00A4381F" w:rsidP="0051329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46" w:type="dxa"/>
          </w:tcPr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b/>
                <w:sz w:val="21"/>
                <w:szCs w:val="21"/>
              </w:rPr>
              <w:t>Izvajanje klicev iz mobilne naprave (predstavitev klicatelja s telefonsko številko klicnega centra)</w:t>
            </w:r>
          </w:p>
          <w:p w:rsidR="00A4381F" w:rsidRPr="0093286C" w:rsidRDefault="00A4381F" w:rsidP="0051329F">
            <w:pPr>
              <w:pStyle w:val="Pripombabesedil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A4381F" w:rsidRPr="0093286C" w:rsidRDefault="00A4381F" w:rsidP="0051329F">
            <w:pPr>
              <w:pStyle w:val="Pripombabesedil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Odhodni klic iz mobilne naprave izvajalca na terenu se opravi lahko tako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 xml:space="preserve"> da se stranki izpiše telefonska številka klicnega centra (to omogoča telefonska centrala). Povratni klici uporabnikov se na ta način vračajo na KC. V tem primeru je pomembno (in tudi v ostalih primerih), da se odhodni klic iz mobilne naprave zabeleži v CRM, tako da agent KC ob morebitnem povratnem klicu iz zgodovine lahko razbere, kdo je izvedel klic.</w:t>
            </w:r>
          </w:p>
          <w:p w:rsidR="00A4381F" w:rsidRPr="0093286C" w:rsidRDefault="00A4381F" w:rsidP="0051329F">
            <w:pPr>
              <w:pStyle w:val="Pripombabesedil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286C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275" w:type="dxa"/>
          </w:tcPr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:rsidR="00A4381F" w:rsidRPr="0093286C" w:rsidRDefault="00A4381F" w:rsidP="0051329F">
            <w:pPr>
              <w:tabs>
                <w:tab w:val="left" w:pos="1068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A4381F" w:rsidRDefault="00A4381F" w:rsidP="00A4381F">
      <w:pPr>
        <w:jc w:val="right"/>
        <w:rPr>
          <w:rFonts w:asciiTheme="minorHAnsi" w:hAnsiTheme="minorHAnsi"/>
          <w:b/>
          <w:sz w:val="21"/>
          <w:szCs w:val="21"/>
        </w:rPr>
      </w:pPr>
    </w:p>
    <w:p w:rsidR="001F52D0" w:rsidRDefault="001F52D0"/>
    <w:sectPr w:rsidR="001F52D0" w:rsidSect="00A4381F">
      <w:footerReference w:type="default" r:id="rId7"/>
      <w:pgSz w:w="11906" w:h="16838"/>
      <w:pgMar w:top="1417" w:right="1417" w:bottom="1417" w:left="1417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81F" w:rsidRDefault="00A4381F" w:rsidP="00A4381F">
      <w:r>
        <w:separator/>
      </w:r>
    </w:p>
  </w:endnote>
  <w:endnote w:type="continuationSeparator" w:id="0">
    <w:p w:rsidR="00A4381F" w:rsidRDefault="00A4381F" w:rsidP="00A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81F" w:rsidRPr="00F44ED7" w:rsidRDefault="00A4381F" w:rsidP="00A4381F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3</w:t>
    </w:r>
    <w:r>
      <w:rPr>
        <w:rFonts w:asciiTheme="minorHAnsi" w:hAnsiTheme="minorHAnsi" w:cstheme="minorHAnsi"/>
        <w:sz w:val="18"/>
        <w:szCs w:val="18"/>
      </w:rPr>
      <w:t>5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A4381F" w:rsidRPr="002103B1" w:rsidRDefault="00A4381F" w:rsidP="00A4381F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A4381F" w:rsidRPr="00B46B6C" w:rsidRDefault="00A4381F" w:rsidP="00A4381F">
    <w:pPr>
      <w:rPr>
        <w:rFonts w:asciiTheme="minorHAnsi" w:hAnsiTheme="minorHAnsi" w:cstheme="minorBidi"/>
        <w:i/>
        <w:iCs/>
        <w:sz w:val="18"/>
        <w:szCs w:val="18"/>
      </w:rPr>
    </w:pPr>
    <w:r w:rsidRPr="0041034D">
      <w:rPr>
        <w:rFonts w:asciiTheme="minorHAnsi" w:hAnsiTheme="minorHAnsi" w:cstheme="minorHAnsi"/>
        <w:i/>
        <w:sz w:val="18"/>
        <w:szCs w:val="18"/>
      </w:rPr>
      <w:t xml:space="preserve">Uvedba sistema za upravljanje odnosov s strankami (CRM) v Skupini Elektro </w:t>
    </w:r>
    <w:r w:rsidRPr="00360D91">
      <w:rPr>
        <w:rFonts w:asciiTheme="minorHAnsi" w:hAnsiTheme="minorHAnsi" w:cstheme="minorHAnsi"/>
        <w:i/>
        <w:sz w:val="18"/>
        <w:szCs w:val="18"/>
      </w:rPr>
      <w:t xml:space="preserve">Gorenjska, </w:t>
    </w:r>
    <w:r>
      <w:rPr>
        <w:rFonts w:asciiTheme="minorHAnsi" w:hAnsiTheme="minorHAnsi" w:cstheme="minorHAnsi"/>
        <w:i/>
        <w:sz w:val="18"/>
        <w:szCs w:val="18"/>
      </w:rPr>
      <w:t>JN19-013</w:t>
    </w:r>
  </w:p>
  <w:p w:rsidR="00A4381F" w:rsidRDefault="00A438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81F" w:rsidRDefault="00A4381F" w:rsidP="00A4381F">
      <w:r>
        <w:separator/>
      </w:r>
    </w:p>
  </w:footnote>
  <w:footnote w:type="continuationSeparator" w:id="0">
    <w:p w:rsidR="00A4381F" w:rsidRDefault="00A4381F" w:rsidP="00A4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576F8"/>
    <w:multiLevelType w:val="hybridMultilevel"/>
    <w:tmpl w:val="79868F94"/>
    <w:lvl w:ilvl="0" w:tplc="D2E08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E0AF4"/>
    <w:multiLevelType w:val="hybridMultilevel"/>
    <w:tmpl w:val="DC52EED6"/>
    <w:lvl w:ilvl="0" w:tplc="D2E08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14C2A"/>
    <w:multiLevelType w:val="hybridMultilevel"/>
    <w:tmpl w:val="705E3B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0507A"/>
    <w:multiLevelType w:val="hybridMultilevel"/>
    <w:tmpl w:val="3154CEDC"/>
    <w:lvl w:ilvl="0" w:tplc="E018BA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10396"/>
    <w:multiLevelType w:val="hybridMultilevel"/>
    <w:tmpl w:val="7EDE90C4"/>
    <w:lvl w:ilvl="0" w:tplc="D2E08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1F"/>
    <w:rsid w:val="001F52D0"/>
    <w:rsid w:val="005B4D11"/>
    <w:rsid w:val="005F2D14"/>
    <w:rsid w:val="00A4381F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61B25-5976-4132-B938-ADAE59C2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4381F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pombabesediloZnak">
    <w:name w:val="Pripomba – besedilo Znak"/>
    <w:link w:val="Pripombabesedilo"/>
    <w:uiPriority w:val="99"/>
    <w:rsid w:val="00A4381F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rsid w:val="00A4381F"/>
    <w:rPr>
      <w:color w:val="333333"/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A4381F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character" w:styleId="Pripombasklic">
    <w:name w:val="annotation reference"/>
    <w:uiPriority w:val="99"/>
    <w:unhideWhenUsed/>
    <w:rsid w:val="00A4381F"/>
    <w:rPr>
      <w:sz w:val="16"/>
      <w:szCs w:val="16"/>
    </w:rPr>
  </w:style>
  <w:style w:type="table" w:styleId="Tabelamrea">
    <w:name w:val="Table Grid"/>
    <w:basedOn w:val="Navadnatabela"/>
    <w:uiPriority w:val="39"/>
    <w:rsid w:val="00A4381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A438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A4381F"/>
    <w:rPr>
      <w:rFonts w:ascii="Calibri" w:eastAsia="Calibri" w:hAnsi="Calibri" w:cs="Times New Roman"/>
      <w:color w:val="auto"/>
      <w:lang w:val="en-GB"/>
    </w:rPr>
  </w:style>
  <w:style w:type="paragraph" w:styleId="Glava">
    <w:name w:val="header"/>
    <w:basedOn w:val="Navaden"/>
    <w:link w:val="GlavaZnak"/>
    <w:uiPriority w:val="99"/>
    <w:unhideWhenUsed/>
    <w:rsid w:val="00A438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4381F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438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4381F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4577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2019-12-19T11:35:00Z</dcterms:created>
  <dcterms:modified xsi:type="dcterms:W3CDTF">2019-12-19T11:37:00Z</dcterms:modified>
</cp:coreProperties>
</file>