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08A" w:rsidRPr="00695AA1" w:rsidRDefault="0016408A" w:rsidP="0016408A">
      <w:pPr>
        <w:pStyle w:val="Telobesedila"/>
        <w:tabs>
          <w:tab w:val="left" w:pos="426"/>
          <w:tab w:val="left" w:pos="540"/>
        </w:tabs>
        <w:jc w:val="center"/>
        <w:rPr>
          <w:rFonts w:asciiTheme="minorHAnsi" w:hAnsiTheme="minorHAnsi" w:cstheme="minorHAnsi"/>
          <w:b/>
          <w:sz w:val="22"/>
          <w:szCs w:val="22"/>
          <w:lang w:val="sl-SI"/>
        </w:rPr>
      </w:pPr>
      <w:r w:rsidRPr="00695AA1">
        <w:rPr>
          <w:rFonts w:asciiTheme="minorHAnsi" w:hAnsiTheme="minorHAnsi" w:cstheme="minorHAnsi"/>
          <w:b/>
          <w:sz w:val="22"/>
          <w:szCs w:val="22"/>
          <w:lang w:val="sl-SI"/>
        </w:rPr>
        <w:t xml:space="preserve">PONUDBA S PONUDBENIM PREDRAČUNOM </w:t>
      </w:r>
    </w:p>
    <w:p w:rsidR="0016408A" w:rsidRDefault="0016408A" w:rsidP="0016408A">
      <w:pPr>
        <w:pStyle w:val="Telobesedila"/>
        <w:tabs>
          <w:tab w:val="left" w:pos="426"/>
          <w:tab w:val="left" w:pos="540"/>
        </w:tabs>
        <w:jc w:val="center"/>
        <w:rPr>
          <w:rFonts w:asciiTheme="minorHAnsi" w:hAnsiTheme="minorHAnsi" w:cstheme="minorHAnsi"/>
          <w:sz w:val="22"/>
          <w:lang w:val="sl-SI"/>
        </w:rPr>
      </w:pPr>
    </w:p>
    <w:p w:rsidR="0016408A" w:rsidRDefault="0016408A" w:rsidP="0016408A">
      <w:pPr>
        <w:pStyle w:val="Telobesedila"/>
        <w:tabs>
          <w:tab w:val="left" w:pos="426"/>
          <w:tab w:val="left" w:pos="540"/>
        </w:tabs>
        <w:jc w:val="center"/>
        <w:rPr>
          <w:rFonts w:asciiTheme="minorHAnsi" w:hAnsiTheme="minorHAnsi" w:cstheme="minorHAnsi"/>
          <w:sz w:val="22"/>
          <w:lang w:val="sl-SI"/>
        </w:rPr>
      </w:pPr>
    </w:p>
    <w:p w:rsidR="0016408A" w:rsidRPr="00695AA1" w:rsidRDefault="0016408A" w:rsidP="0016408A">
      <w:pPr>
        <w:pStyle w:val="Telobesedila"/>
        <w:tabs>
          <w:tab w:val="left" w:pos="426"/>
          <w:tab w:val="left" w:pos="540"/>
        </w:tabs>
        <w:jc w:val="center"/>
        <w:rPr>
          <w:rFonts w:asciiTheme="minorHAnsi" w:hAnsiTheme="minorHAnsi" w:cstheme="minorHAnsi"/>
          <w:sz w:val="22"/>
          <w:lang w:val="sl-SI"/>
        </w:rPr>
      </w:pPr>
    </w:p>
    <w:p w:rsidR="0016408A" w:rsidRPr="00332C53" w:rsidRDefault="0016408A" w:rsidP="0016408A">
      <w:pPr>
        <w:rPr>
          <w:rFonts w:ascii="Calibri" w:hAnsi="Calibri"/>
          <w:sz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6791"/>
      </w:tblGrid>
      <w:tr w:rsidR="0016408A" w:rsidRPr="00332C53" w:rsidTr="00A91B77">
        <w:tc>
          <w:tcPr>
            <w:tcW w:w="2290" w:type="dxa"/>
          </w:tcPr>
          <w:p w:rsidR="0016408A" w:rsidRPr="00332C53" w:rsidRDefault="0016408A" w:rsidP="00A91B77">
            <w:pPr>
              <w:rPr>
                <w:rFonts w:ascii="Calibri" w:hAnsi="Calibri" w:cs="Arial"/>
                <w:sz w:val="22"/>
              </w:rPr>
            </w:pPr>
            <w:r w:rsidRPr="00332C53">
              <w:rPr>
                <w:rFonts w:ascii="Calibri" w:hAnsi="Calibri" w:cs="Arial"/>
                <w:sz w:val="22"/>
              </w:rPr>
              <w:t>Številka ponudbe:</w:t>
            </w:r>
          </w:p>
        </w:tc>
        <w:tc>
          <w:tcPr>
            <w:tcW w:w="6782" w:type="dxa"/>
          </w:tcPr>
          <w:p w:rsidR="0016408A" w:rsidRPr="00332C53" w:rsidRDefault="0016408A" w:rsidP="00A91B77">
            <w:pPr>
              <w:rPr>
                <w:rFonts w:ascii="Calibri" w:hAnsi="Calibri" w:cs="Arial"/>
                <w:sz w:val="22"/>
              </w:rPr>
            </w:pPr>
            <w:r w:rsidRPr="00332C53">
              <w:rPr>
                <w:rFonts w:ascii="Calibri" w:hAnsi="Calibri" w:cs="Arial"/>
                <w:sz w:val="22"/>
              </w:rPr>
              <w:t>______________________</w:t>
            </w:r>
          </w:p>
        </w:tc>
      </w:tr>
      <w:tr w:rsidR="0016408A" w:rsidRPr="00332C53" w:rsidTr="00A91B77">
        <w:tc>
          <w:tcPr>
            <w:tcW w:w="2290" w:type="dxa"/>
          </w:tcPr>
          <w:p w:rsidR="0016408A" w:rsidRPr="00332C53" w:rsidRDefault="0016408A" w:rsidP="00A91B77">
            <w:pPr>
              <w:rPr>
                <w:rFonts w:ascii="Calibri" w:hAnsi="Calibri" w:cs="Arial"/>
                <w:sz w:val="22"/>
              </w:rPr>
            </w:pPr>
          </w:p>
        </w:tc>
        <w:tc>
          <w:tcPr>
            <w:tcW w:w="6782" w:type="dxa"/>
          </w:tcPr>
          <w:p w:rsidR="0016408A" w:rsidRPr="00332C53" w:rsidRDefault="0016408A" w:rsidP="00A91B77">
            <w:pPr>
              <w:rPr>
                <w:rFonts w:ascii="Calibri" w:hAnsi="Calibri" w:cs="Arial"/>
                <w:sz w:val="22"/>
              </w:rPr>
            </w:pPr>
          </w:p>
        </w:tc>
      </w:tr>
      <w:tr w:rsidR="0016408A" w:rsidRPr="00332C53" w:rsidTr="00A91B77">
        <w:tc>
          <w:tcPr>
            <w:tcW w:w="2290" w:type="dxa"/>
          </w:tcPr>
          <w:p w:rsidR="0016408A" w:rsidRPr="00332C53" w:rsidRDefault="0016408A" w:rsidP="00A91B77">
            <w:pPr>
              <w:rPr>
                <w:rFonts w:ascii="Calibri" w:hAnsi="Calibri" w:cs="Arial"/>
                <w:sz w:val="22"/>
              </w:rPr>
            </w:pPr>
            <w:r w:rsidRPr="00332C53">
              <w:rPr>
                <w:rFonts w:ascii="Calibri" w:hAnsi="Calibri" w:cs="Arial"/>
                <w:sz w:val="22"/>
              </w:rPr>
              <w:t>Ponudnik:</w:t>
            </w:r>
          </w:p>
        </w:tc>
        <w:tc>
          <w:tcPr>
            <w:tcW w:w="6782" w:type="dxa"/>
          </w:tcPr>
          <w:p w:rsidR="0016408A" w:rsidRPr="00332C53" w:rsidRDefault="0016408A" w:rsidP="00A91B77">
            <w:pPr>
              <w:rPr>
                <w:rFonts w:ascii="Calibri" w:hAnsi="Calibri" w:cs="Arial"/>
                <w:sz w:val="22"/>
              </w:rPr>
            </w:pPr>
            <w:r w:rsidRPr="00332C53">
              <w:rPr>
                <w:rFonts w:ascii="Calibri" w:hAnsi="Calibri" w:cs="Arial"/>
                <w:sz w:val="22"/>
              </w:rPr>
              <w:t>____________________________________________________________</w:t>
            </w:r>
          </w:p>
        </w:tc>
      </w:tr>
    </w:tbl>
    <w:p w:rsidR="0016408A" w:rsidRPr="00332C53" w:rsidRDefault="0016408A" w:rsidP="0016408A">
      <w:pPr>
        <w:rPr>
          <w:rFonts w:ascii="Calibri" w:hAnsi="Calibri" w:cs="Arial"/>
          <w:sz w:val="22"/>
        </w:rPr>
      </w:pPr>
    </w:p>
    <w:p w:rsidR="0016408A" w:rsidRPr="00332C53" w:rsidRDefault="0016408A" w:rsidP="0016408A">
      <w:pPr>
        <w:rPr>
          <w:rFonts w:ascii="Calibri" w:hAnsi="Calibri" w:cs="Arial"/>
          <w:sz w:val="22"/>
        </w:rPr>
      </w:pPr>
    </w:p>
    <w:p w:rsidR="0016408A" w:rsidRPr="00332C53" w:rsidRDefault="0016408A" w:rsidP="0016408A">
      <w:pPr>
        <w:rPr>
          <w:rFonts w:ascii="Calibri" w:hAnsi="Calibri" w:cs="Arial"/>
          <w:bCs/>
          <w:sz w:val="22"/>
        </w:rPr>
      </w:pPr>
      <w:r w:rsidRPr="00332C53">
        <w:rPr>
          <w:rFonts w:ascii="Calibri" w:hAnsi="Calibri" w:cs="Arial"/>
          <w:snapToGrid w:val="0"/>
          <w:sz w:val="22"/>
        </w:rPr>
        <w:t xml:space="preserve">Na podlagi predmetnega javnega naročila </w:t>
      </w:r>
      <w:r w:rsidRPr="00332C53">
        <w:rPr>
          <w:rFonts w:ascii="Calibri" w:hAnsi="Calibri" w:cs="Arial"/>
          <w:bCs/>
          <w:sz w:val="22"/>
        </w:rPr>
        <w:t>dajemo naslednjo</w:t>
      </w:r>
    </w:p>
    <w:p w:rsidR="0016408A" w:rsidRPr="00332C53" w:rsidRDefault="0016408A" w:rsidP="0016408A">
      <w:pPr>
        <w:jc w:val="center"/>
        <w:rPr>
          <w:rFonts w:ascii="Calibri" w:hAnsi="Calibri"/>
          <w:b/>
          <w:sz w:val="22"/>
        </w:rPr>
      </w:pPr>
    </w:p>
    <w:p w:rsidR="0016408A" w:rsidRDefault="0016408A" w:rsidP="0016408A">
      <w:pPr>
        <w:jc w:val="center"/>
        <w:rPr>
          <w:rFonts w:asciiTheme="minorHAnsi" w:hAnsiTheme="minorHAnsi" w:cs="Arial"/>
          <w:b/>
          <w:sz w:val="22"/>
          <w:szCs w:val="22"/>
        </w:rPr>
      </w:pPr>
    </w:p>
    <w:p w:rsidR="0016408A" w:rsidRPr="00424351" w:rsidRDefault="0016408A" w:rsidP="0016408A">
      <w:pPr>
        <w:jc w:val="center"/>
        <w:rPr>
          <w:rFonts w:asciiTheme="minorHAnsi" w:hAnsiTheme="minorHAnsi" w:cs="Arial"/>
          <w:sz w:val="22"/>
          <w:szCs w:val="22"/>
        </w:rPr>
      </w:pPr>
      <w:r w:rsidRPr="00413A43">
        <w:rPr>
          <w:rFonts w:asciiTheme="minorHAnsi" w:hAnsiTheme="minorHAnsi" w:cs="Arial"/>
          <w:b/>
          <w:sz w:val="22"/>
          <w:szCs w:val="22"/>
        </w:rPr>
        <w:t>PONUDBO</w:t>
      </w:r>
      <w:r w:rsidRPr="00413A43">
        <w:rPr>
          <w:rStyle w:val="Sprotnaopomba-sklic"/>
          <w:rFonts w:asciiTheme="minorHAnsi" w:hAnsiTheme="minorHAnsi" w:cs="Arial"/>
          <w:b/>
          <w:sz w:val="22"/>
          <w:szCs w:val="22"/>
        </w:rPr>
        <w:footnoteReference w:id="1"/>
      </w:r>
      <w:r>
        <w:rPr>
          <w:rFonts w:asciiTheme="minorHAnsi" w:hAnsiTheme="minorHAnsi" w:cs="Arial"/>
          <w:b/>
          <w:sz w:val="22"/>
          <w:szCs w:val="22"/>
        </w:rPr>
        <w:t xml:space="preserve"> </w:t>
      </w:r>
    </w:p>
    <w:p w:rsidR="0016408A" w:rsidRDefault="0016408A" w:rsidP="0016408A">
      <w:pPr>
        <w:jc w:val="center"/>
        <w:rPr>
          <w:rFonts w:asciiTheme="minorHAnsi" w:hAnsiTheme="minorHAnsi" w:cs="Arial"/>
          <w:sz w:val="22"/>
          <w:szCs w:val="22"/>
        </w:rPr>
      </w:pPr>
    </w:p>
    <w:p w:rsidR="0016408A" w:rsidRDefault="0016408A" w:rsidP="0016408A">
      <w:pPr>
        <w:jc w:val="center"/>
        <w:rPr>
          <w:rFonts w:asciiTheme="minorHAnsi" w:hAnsiTheme="minorHAnsi"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65"/>
      </w:tblGrid>
      <w:tr w:rsidR="0016408A" w:rsidRPr="00792406" w:rsidTr="00A91B77">
        <w:trPr>
          <w:trHeight w:val="525"/>
        </w:trPr>
        <w:tc>
          <w:tcPr>
            <w:tcW w:w="4815" w:type="dxa"/>
            <w:shd w:val="clear" w:color="auto" w:fill="D9D9D9" w:themeFill="background1" w:themeFillShade="D9"/>
            <w:vAlign w:val="center"/>
          </w:tcPr>
          <w:p w:rsidR="0016408A" w:rsidRPr="00D73077" w:rsidRDefault="0016408A" w:rsidP="00A91B77">
            <w:pPr>
              <w:jc w:val="both"/>
              <w:rPr>
                <w:rFonts w:asciiTheme="minorHAnsi" w:hAnsiTheme="minorHAnsi"/>
                <w:sz w:val="22"/>
                <w:highlight w:val="yellow"/>
              </w:rPr>
            </w:pPr>
            <w:r>
              <w:rPr>
                <w:rFonts w:asciiTheme="minorHAnsi" w:hAnsiTheme="minorHAnsi"/>
                <w:b/>
                <w:sz w:val="22"/>
              </w:rPr>
              <w:t xml:space="preserve">Rekapitulacija (F5): </w:t>
            </w:r>
            <w:r w:rsidRPr="00751B06">
              <w:rPr>
                <w:rFonts w:asciiTheme="minorHAnsi" w:hAnsiTheme="minorHAnsi"/>
                <w:b/>
                <w:sz w:val="22"/>
              </w:rPr>
              <w:t>Dobava</w:t>
            </w:r>
            <w:r>
              <w:rPr>
                <w:rFonts w:asciiTheme="minorHAnsi" w:hAnsiTheme="minorHAnsi"/>
                <w:b/>
                <w:sz w:val="22"/>
              </w:rPr>
              <w:t xml:space="preserve"> in</w:t>
            </w:r>
            <w:r w:rsidRPr="00751B06">
              <w:rPr>
                <w:rFonts w:asciiTheme="minorHAnsi" w:hAnsiTheme="minorHAnsi"/>
                <w:b/>
                <w:sz w:val="22"/>
              </w:rPr>
              <w:t xml:space="preserve"> montaža</w:t>
            </w:r>
            <w:r>
              <w:rPr>
                <w:rFonts w:asciiTheme="minorHAnsi" w:hAnsiTheme="minorHAnsi"/>
                <w:b/>
                <w:sz w:val="22"/>
              </w:rPr>
              <w:t xml:space="preserve"> sekundarne opreme</w:t>
            </w:r>
            <w:r w:rsidRPr="00751B06">
              <w:rPr>
                <w:rFonts w:asciiTheme="minorHAnsi" w:hAnsiTheme="minorHAnsi"/>
                <w:b/>
                <w:sz w:val="22"/>
              </w:rPr>
              <w:t xml:space="preserve"> (skupna cena v EUR brez DDV)</w:t>
            </w:r>
          </w:p>
        </w:tc>
        <w:tc>
          <w:tcPr>
            <w:tcW w:w="4365" w:type="dxa"/>
            <w:shd w:val="clear" w:color="auto" w:fill="auto"/>
          </w:tcPr>
          <w:p w:rsidR="0016408A" w:rsidRPr="00792406" w:rsidRDefault="0016408A" w:rsidP="00A91B77">
            <w:pPr>
              <w:rPr>
                <w:rFonts w:asciiTheme="minorHAnsi" w:hAnsiTheme="minorHAnsi"/>
                <w:b/>
                <w:sz w:val="22"/>
              </w:rPr>
            </w:pPr>
          </w:p>
          <w:p w:rsidR="0016408A" w:rsidRDefault="0016408A" w:rsidP="00A91B77">
            <w:pPr>
              <w:jc w:val="right"/>
              <w:rPr>
                <w:rFonts w:asciiTheme="minorHAnsi" w:hAnsiTheme="minorHAnsi"/>
                <w:b/>
                <w:sz w:val="22"/>
              </w:rPr>
            </w:pPr>
          </w:p>
          <w:p w:rsidR="0016408A" w:rsidRPr="00792406" w:rsidRDefault="0016408A" w:rsidP="00A91B77">
            <w:pPr>
              <w:jc w:val="right"/>
              <w:rPr>
                <w:rFonts w:asciiTheme="minorHAnsi" w:hAnsiTheme="minorHAnsi"/>
                <w:sz w:val="22"/>
              </w:rPr>
            </w:pPr>
            <w:r w:rsidRPr="00792406">
              <w:rPr>
                <w:rFonts w:asciiTheme="minorHAnsi" w:hAnsiTheme="minorHAnsi"/>
                <w:b/>
                <w:sz w:val="22"/>
              </w:rPr>
              <w:t>______________________ EUR</w:t>
            </w:r>
          </w:p>
        </w:tc>
      </w:tr>
      <w:tr w:rsidR="0016408A" w:rsidRPr="00792406" w:rsidTr="00A91B77">
        <w:trPr>
          <w:trHeight w:val="525"/>
        </w:trPr>
        <w:tc>
          <w:tcPr>
            <w:tcW w:w="4815" w:type="dxa"/>
            <w:shd w:val="clear" w:color="auto" w:fill="D9D9D9" w:themeFill="background1" w:themeFillShade="D9"/>
            <w:vAlign w:val="center"/>
          </w:tcPr>
          <w:p w:rsidR="0016408A" w:rsidRPr="0049274B" w:rsidRDefault="0016408A" w:rsidP="00A91B77">
            <w:pPr>
              <w:jc w:val="both"/>
              <w:rPr>
                <w:rFonts w:asciiTheme="minorHAnsi" w:hAnsiTheme="minorHAnsi"/>
                <w:sz w:val="22"/>
              </w:rPr>
            </w:pPr>
            <w:r>
              <w:rPr>
                <w:rFonts w:asciiTheme="minorHAnsi" w:hAnsiTheme="minorHAnsi"/>
                <w:b/>
                <w:sz w:val="22"/>
              </w:rPr>
              <w:t>Rekapitulacija (F6):</w:t>
            </w:r>
            <w:r w:rsidRPr="0049274B">
              <w:rPr>
                <w:rFonts w:asciiTheme="minorHAnsi" w:hAnsiTheme="minorHAnsi"/>
                <w:b/>
                <w:sz w:val="22"/>
              </w:rPr>
              <w:t xml:space="preserve"> </w:t>
            </w:r>
            <w:proofErr w:type="spellStart"/>
            <w:r>
              <w:rPr>
                <w:rFonts w:asciiTheme="minorHAnsi" w:hAnsiTheme="minorHAnsi"/>
                <w:b/>
                <w:sz w:val="22"/>
              </w:rPr>
              <w:t>Pogarancijsko</w:t>
            </w:r>
            <w:proofErr w:type="spellEnd"/>
            <w:r>
              <w:rPr>
                <w:rFonts w:asciiTheme="minorHAnsi" w:hAnsiTheme="minorHAnsi"/>
                <w:b/>
                <w:sz w:val="22"/>
              </w:rPr>
              <w:t xml:space="preserve"> v</w:t>
            </w:r>
            <w:r w:rsidRPr="0049274B">
              <w:rPr>
                <w:rFonts w:asciiTheme="minorHAnsi" w:hAnsiTheme="minorHAnsi"/>
                <w:b/>
                <w:sz w:val="22"/>
              </w:rPr>
              <w:t xml:space="preserve">zdrževanje </w:t>
            </w:r>
            <w:r>
              <w:rPr>
                <w:rFonts w:asciiTheme="minorHAnsi" w:hAnsiTheme="minorHAnsi"/>
                <w:b/>
                <w:sz w:val="22"/>
              </w:rPr>
              <w:t>o</w:t>
            </w:r>
            <w:r w:rsidRPr="0049274B">
              <w:rPr>
                <w:rFonts w:asciiTheme="minorHAnsi" w:hAnsiTheme="minorHAnsi"/>
                <w:b/>
                <w:sz w:val="22"/>
              </w:rPr>
              <w:t>preme (v EUR brez DDV)</w:t>
            </w:r>
          </w:p>
        </w:tc>
        <w:tc>
          <w:tcPr>
            <w:tcW w:w="4365" w:type="dxa"/>
            <w:shd w:val="clear" w:color="auto" w:fill="auto"/>
          </w:tcPr>
          <w:p w:rsidR="0016408A" w:rsidRPr="0049274B" w:rsidRDefault="0016408A" w:rsidP="00A91B77">
            <w:pPr>
              <w:jc w:val="right"/>
              <w:rPr>
                <w:rFonts w:asciiTheme="minorHAnsi" w:hAnsiTheme="minorHAnsi"/>
                <w:b/>
                <w:sz w:val="22"/>
              </w:rPr>
            </w:pPr>
            <w:r w:rsidRPr="0049274B">
              <w:rPr>
                <w:rFonts w:asciiTheme="minorHAnsi" w:hAnsiTheme="minorHAnsi"/>
                <w:b/>
                <w:sz w:val="22"/>
              </w:rPr>
              <w:t>(________________ EUR/mesec)</w:t>
            </w:r>
          </w:p>
          <w:p w:rsidR="0016408A" w:rsidRPr="00792406" w:rsidRDefault="0016408A" w:rsidP="00A91B77">
            <w:pPr>
              <w:jc w:val="right"/>
              <w:rPr>
                <w:rFonts w:asciiTheme="minorHAnsi" w:hAnsiTheme="minorHAnsi"/>
                <w:sz w:val="22"/>
              </w:rPr>
            </w:pPr>
            <w:r w:rsidRPr="0049274B">
              <w:rPr>
                <w:rFonts w:asciiTheme="minorHAnsi" w:hAnsiTheme="minorHAnsi"/>
                <w:b/>
                <w:sz w:val="22"/>
              </w:rPr>
              <w:t>______________________ EUR za 5 let</w:t>
            </w:r>
          </w:p>
        </w:tc>
      </w:tr>
      <w:tr w:rsidR="0016408A" w:rsidRPr="00792406" w:rsidTr="00A91B77">
        <w:trPr>
          <w:trHeight w:val="525"/>
        </w:trPr>
        <w:tc>
          <w:tcPr>
            <w:tcW w:w="4815" w:type="dxa"/>
            <w:shd w:val="clear" w:color="auto" w:fill="D9D9D9" w:themeFill="background1" w:themeFillShade="D9"/>
            <w:vAlign w:val="center"/>
          </w:tcPr>
          <w:p w:rsidR="0016408A" w:rsidRPr="00792406" w:rsidRDefault="0016408A" w:rsidP="00A91B77">
            <w:pPr>
              <w:jc w:val="both"/>
              <w:rPr>
                <w:rFonts w:asciiTheme="minorHAnsi" w:hAnsiTheme="minorHAnsi"/>
                <w:b/>
                <w:sz w:val="22"/>
              </w:rPr>
            </w:pPr>
            <w:r w:rsidRPr="00792406">
              <w:rPr>
                <w:rFonts w:asciiTheme="minorHAnsi" w:hAnsiTheme="minorHAnsi"/>
                <w:b/>
                <w:sz w:val="22"/>
              </w:rPr>
              <w:t xml:space="preserve">Skupaj </w:t>
            </w:r>
            <w:r>
              <w:rPr>
                <w:rFonts w:asciiTheme="minorHAnsi" w:hAnsiTheme="minorHAnsi"/>
                <w:b/>
                <w:sz w:val="22"/>
              </w:rPr>
              <w:t xml:space="preserve">(F5+F6) </w:t>
            </w:r>
            <w:r w:rsidRPr="00792406">
              <w:rPr>
                <w:rFonts w:asciiTheme="minorHAnsi" w:hAnsiTheme="minorHAnsi"/>
                <w:b/>
                <w:sz w:val="22"/>
              </w:rPr>
              <w:t>(v EUR brez DDV)</w:t>
            </w:r>
          </w:p>
        </w:tc>
        <w:tc>
          <w:tcPr>
            <w:tcW w:w="4365" w:type="dxa"/>
            <w:shd w:val="clear" w:color="auto" w:fill="auto"/>
          </w:tcPr>
          <w:p w:rsidR="0016408A" w:rsidRDefault="0016408A" w:rsidP="00A91B77">
            <w:pPr>
              <w:rPr>
                <w:rFonts w:asciiTheme="minorHAnsi" w:hAnsiTheme="minorHAnsi"/>
                <w:b/>
                <w:sz w:val="22"/>
              </w:rPr>
            </w:pPr>
          </w:p>
          <w:p w:rsidR="0016408A" w:rsidRPr="00792406" w:rsidRDefault="0016408A" w:rsidP="00A91B77">
            <w:pPr>
              <w:jc w:val="right"/>
              <w:rPr>
                <w:rFonts w:asciiTheme="minorHAnsi" w:hAnsiTheme="minorHAnsi"/>
                <w:b/>
                <w:sz w:val="22"/>
              </w:rPr>
            </w:pPr>
            <w:r w:rsidRPr="00792406">
              <w:rPr>
                <w:rFonts w:asciiTheme="minorHAnsi" w:hAnsiTheme="minorHAnsi"/>
                <w:b/>
                <w:sz w:val="22"/>
              </w:rPr>
              <w:t>______________________ EUR</w:t>
            </w:r>
          </w:p>
        </w:tc>
      </w:tr>
    </w:tbl>
    <w:p w:rsidR="0016408A" w:rsidRPr="00424351" w:rsidRDefault="0016408A" w:rsidP="0016408A">
      <w:pPr>
        <w:rPr>
          <w:rFonts w:asciiTheme="minorHAnsi" w:hAnsiTheme="minorHAnsi"/>
          <w:highlight w:val="yellow"/>
          <w:u w:val="single"/>
        </w:rPr>
      </w:pPr>
    </w:p>
    <w:p w:rsidR="0016408A" w:rsidRPr="00C33282" w:rsidRDefault="0016408A" w:rsidP="0016408A">
      <w:pPr>
        <w:keepNext/>
        <w:keepLines/>
        <w:suppressAutoHyphens/>
        <w:jc w:val="both"/>
        <w:rPr>
          <w:rFonts w:asciiTheme="minorHAnsi" w:hAnsiTheme="minorHAnsi"/>
          <w:bCs/>
          <w:sz w:val="22"/>
          <w:szCs w:val="22"/>
          <w:lang w:eastAsia="en-US"/>
        </w:rPr>
      </w:pPr>
      <w:r w:rsidRPr="00C33282">
        <w:rPr>
          <w:rFonts w:asciiTheme="minorHAnsi" w:hAnsiTheme="minorHAnsi"/>
          <w:bCs/>
          <w:sz w:val="22"/>
          <w:szCs w:val="22"/>
          <w:lang w:eastAsia="en-US"/>
        </w:rPr>
        <w:t xml:space="preserve">V ceno so vključeni vsi stroški, ki jih bo ponudnik imel z izvedbo javnega naročila. </w:t>
      </w:r>
    </w:p>
    <w:p w:rsidR="0016408A" w:rsidRDefault="0016408A" w:rsidP="0016408A">
      <w:pPr>
        <w:rPr>
          <w:rFonts w:ascii="Calibri" w:hAnsi="Calibri"/>
          <w:sz w:val="22"/>
          <w:highlight w:val="yellow"/>
          <w:u w:val="single"/>
        </w:rPr>
      </w:pPr>
    </w:p>
    <w:p w:rsidR="0016408A" w:rsidRPr="00332C53" w:rsidRDefault="0016408A" w:rsidP="0016408A">
      <w:pPr>
        <w:rPr>
          <w:rFonts w:ascii="Calibri" w:hAnsi="Calibri"/>
          <w:sz w:val="22"/>
          <w:highlight w:val="yellow"/>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16408A" w:rsidRPr="00332C53" w:rsidTr="00A91B77">
        <w:trPr>
          <w:trHeight w:val="691"/>
        </w:trPr>
        <w:tc>
          <w:tcPr>
            <w:tcW w:w="4815" w:type="dxa"/>
            <w:shd w:val="clear" w:color="auto" w:fill="F2F2F2"/>
            <w:vAlign w:val="center"/>
          </w:tcPr>
          <w:p w:rsidR="0016408A" w:rsidRPr="00332C53" w:rsidRDefault="0016408A" w:rsidP="00A91B77">
            <w:pPr>
              <w:rPr>
                <w:rFonts w:ascii="Calibri" w:hAnsi="Calibri"/>
                <w:b/>
                <w:sz w:val="22"/>
              </w:rPr>
            </w:pPr>
            <w:r w:rsidRPr="00110797">
              <w:rPr>
                <w:rFonts w:asciiTheme="minorHAnsi" w:hAnsiTheme="minorHAnsi" w:cstheme="minorHAnsi"/>
                <w:b/>
                <w:sz w:val="22"/>
                <w:szCs w:val="22"/>
              </w:rPr>
              <w:t xml:space="preserve">Veljavnost ponudbe </w:t>
            </w:r>
          </w:p>
        </w:tc>
        <w:tc>
          <w:tcPr>
            <w:tcW w:w="4394" w:type="dxa"/>
            <w:vAlign w:val="center"/>
          </w:tcPr>
          <w:p w:rsidR="0016408A" w:rsidRPr="00332C53" w:rsidRDefault="0016408A" w:rsidP="00A91B77">
            <w:pPr>
              <w:jc w:val="both"/>
              <w:rPr>
                <w:rFonts w:ascii="Calibri" w:hAnsi="Calibri"/>
                <w:sz w:val="22"/>
                <w:szCs w:val="20"/>
              </w:rPr>
            </w:pPr>
            <w:r w:rsidRPr="00110797">
              <w:rPr>
                <w:rFonts w:asciiTheme="minorHAnsi" w:hAnsiTheme="minorHAnsi" w:cstheme="minorHAnsi"/>
                <w:sz w:val="22"/>
                <w:szCs w:val="22"/>
              </w:rPr>
              <w:t>_________</w:t>
            </w:r>
            <w:r>
              <w:rPr>
                <w:rFonts w:asciiTheme="minorHAnsi" w:hAnsiTheme="minorHAnsi" w:cstheme="minorHAnsi"/>
                <w:sz w:val="22"/>
                <w:szCs w:val="22"/>
              </w:rPr>
              <w:t>_____________________</w:t>
            </w:r>
          </w:p>
        </w:tc>
      </w:tr>
    </w:tbl>
    <w:p w:rsidR="0016408A" w:rsidRPr="00332C53" w:rsidRDefault="0016408A" w:rsidP="0016408A">
      <w:pPr>
        <w:rPr>
          <w:rFonts w:ascii="Calibri" w:hAnsi="Calibri"/>
          <w:sz w:val="22"/>
        </w:rPr>
      </w:pPr>
    </w:p>
    <w:p w:rsidR="0016408A" w:rsidRPr="00332C53" w:rsidRDefault="0016408A" w:rsidP="0016408A">
      <w:pPr>
        <w:rPr>
          <w:rFonts w:ascii="Calibri" w:hAnsi="Calibri"/>
          <w:sz w:val="22"/>
        </w:rPr>
      </w:pPr>
    </w:p>
    <w:p w:rsidR="0016408A" w:rsidRPr="00332C53" w:rsidRDefault="0016408A" w:rsidP="0016408A">
      <w:pPr>
        <w:rPr>
          <w:rFonts w:ascii="Calibri" w:hAnsi="Calibri"/>
          <w:sz w:val="22"/>
        </w:rPr>
      </w:pPr>
    </w:p>
    <w:tbl>
      <w:tblPr>
        <w:tblW w:w="0" w:type="auto"/>
        <w:tblLayout w:type="fixed"/>
        <w:tblLook w:val="0000" w:firstRow="0" w:lastRow="0" w:firstColumn="0" w:lastColumn="0" w:noHBand="0" w:noVBand="0"/>
      </w:tblPr>
      <w:tblGrid>
        <w:gridCol w:w="4361"/>
        <w:gridCol w:w="4361"/>
      </w:tblGrid>
      <w:tr w:rsidR="0016408A" w:rsidRPr="00332C53" w:rsidTr="00A91B77">
        <w:trPr>
          <w:cantSplit/>
        </w:trPr>
        <w:tc>
          <w:tcPr>
            <w:tcW w:w="4361" w:type="dxa"/>
          </w:tcPr>
          <w:p w:rsidR="0016408A" w:rsidRPr="00332C53" w:rsidRDefault="0016408A" w:rsidP="00A91B77">
            <w:pPr>
              <w:rPr>
                <w:rFonts w:ascii="Calibri" w:hAnsi="Calibri"/>
                <w:sz w:val="22"/>
              </w:rPr>
            </w:pPr>
            <w:r w:rsidRPr="00332C53">
              <w:rPr>
                <w:rFonts w:ascii="Calibri" w:hAnsi="Calibri"/>
                <w:sz w:val="22"/>
              </w:rPr>
              <w:t>Kraj in datum:</w:t>
            </w:r>
          </w:p>
        </w:tc>
        <w:tc>
          <w:tcPr>
            <w:tcW w:w="4361" w:type="dxa"/>
          </w:tcPr>
          <w:p w:rsidR="0016408A" w:rsidRPr="00332C53" w:rsidRDefault="0016408A" w:rsidP="00A91B77">
            <w:pPr>
              <w:rPr>
                <w:rFonts w:ascii="Calibri" w:hAnsi="Calibri"/>
                <w:sz w:val="22"/>
              </w:rPr>
            </w:pPr>
            <w:r w:rsidRPr="00332C53">
              <w:rPr>
                <w:rFonts w:ascii="Calibri" w:hAnsi="Calibri"/>
                <w:sz w:val="22"/>
              </w:rPr>
              <w:t>Ponudnik:</w:t>
            </w:r>
          </w:p>
          <w:p w:rsidR="0016408A" w:rsidRPr="00332C53" w:rsidRDefault="0016408A" w:rsidP="00A91B77">
            <w:pPr>
              <w:rPr>
                <w:rFonts w:ascii="Calibri" w:hAnsi="Calibri"/>
                <w:sz w:val="22"/>
              </w:rPr>
            </w:pPr>
          </w:p>
        </w:tc>
      </w:tr>
      <w:tr w:rsidR="0016408A" w:rsidRPr="00332C53" w:rsidTr="00A91B77">
        <w:trPr>
          <w:cantSplit/>
        </w:trPr>
        <w:tc>
          <w:tcPr>
            <w:tcW w:w="4361" w:type="dxa"/>
          </w:tcPr>
          <w:p w:rsidR="0016408A" w:rsidRPr="00332C53" w:rsidRDefault="0016408A" w:rsidP="00A91B77">
            <w:pPr>
              <w:rPr>
                <w:rFonts w:ascii="Calibri" w:hAnsi="Calibri"/>
                <w:sz w:val="22"/>
              </w:rPr>
            </w:pPr>
          </w:p>
        </w:tc>
        <w:tc>
          <w:tcPr>
            <w:tcW w:w="4361" w:type="dxa"/>
          </w:tcPr>
          <w:p w:rsidR="0016408A" w:rsidRPr="00332C53" w:rsidRDefault="0016408A" w:rsidP="00A91B77">
            <w:pPr>
              <w:rPr>
                <w:rFonts w:ascii="Calibri" w:hAnsi="Calibri"/>
                <w:sz w:val="22"/>
              </w:rPr>
            </w:pPr>
          </w:p>
          <w:p w:rsidR="0016408A" w:rsidRPr="00332C53" w:rsidRDefault="0016408A" w:rsidP="00A91B77">
            <w:pPr>
              <w:rPr>
                <w:rFonts w:ascii="Calibri" w:hAnsi="Calibri"/>
                <w:sz w:val="22"/>
              </w:rPr>
            </w:pPr>
            <w:r w:rsidRPr="00332C53">
              <w:rPr>
                <w:rFonts w:ascii="Calibri" w:hAnsi="Calibri"/>
                <w:sz w:val="22"/>
              </w:rPr>
              <w:t>Žig in podpis:</w:t>
            </w:r>
          </w:p>
        </w:tc>
      </w:tr>
    </w:tbl>
    <w:p w:rsidR="0016408A" w:rsidRDefault="0016408A" w:rsidP="0016408A">
      <w:pPr>
        <w:rPr>
          <w:rFonts w:ascii="Calibri" w:hAnsi="Calibri"/>
          <w:b/>
          <w:sz w:val="22"/>
        </w:rPr>
      </w:pPr>
    </w:p>
    <w:p w:rsidR="0016408A" w:rsidRDefault="0016408A" w:rsidP="0016408A">
      <w:pPr>
        <w:rPr>
          <w:rFonts w:ascii="Calibri" w:hAnsi="Calibri"/>
          <w:b/>
          <w:sz w:val="22"/>
        </w:rPr>
      </w:pPr>
    </w:p>
    <w:p w:rsidR="0016408A" w:rsidRDefault="0016408A" w:rsidP="0016408A">
      <w:pPr>
        <w:rPr>
          <w:rFonts w:ascii="Calibri" w:hAnsi="Calibri"/>
          <w:b/>
          <w:sz w:val="22"/>
        </w:rPr>
      </w:pPr>
    </w:p>
    <w:p w:rsidR="0016408A" w:rsidRDefault="0016408A" w:rsidP="0016408A">
      <w:pPr>
        <w:rPr>
          <w:rFonts w:ascii="Calibri" w:hAnsi="Calibri"/>
          <w:b/>
          <w:sz w:val="22"/>
        </w:rPr>
      </w:pPr>
    </w:p>
    <w:p w:rsidR="0016408A" w:rsidRDefault="0016408A" w:rsidP="0016408A">
      <w:pPr>
        <w:rPr>
          <w:rFonts w:ascii="Calibri" w:hAnsi="Calibri"/>
          <w:b/>
          <w:sz w:val="22"/>
        </w:rPr>
      </w:pPr>
    </w:p>
    <w:p w:rsidR="0016408A" w:rsidRDefault="0016408A" w:rsidP="0016408A">
      <w:pPr>
        <w:rPr>
          <w:rFonts w:ascii="Calibri" w:hAnsi="Calibri"/>
          <w:b/>
          <w:sz w:val="22"/>
        </w:rPr>
      </w:pPr>
    </w:p>
    <w:p w:rsidR="0016408A" w:rsidRDefault="0016408A" w:rsidP="0016408A">
      <w:pPr>
        <w:rPr>
          <w:rFonts w:ascii="Calibri" w:hAnsi="Calibri"/>
          <w:b/>
          <w:sz w:val="22"/>
        </w:rPr>
      </w:pPr>
    </w:p>
    <w:p w:rsidR="0016408A" w:rsidRDefault="0016408A" w:rsidP="0016408A">
      <w:pPr>
        <w:rPr>
          <w:rFonts w:ascii="Calibri" w:hAnsi="Calibri"/>
          <w:b/>
          <w:sz w:val="22"/>
        </w:rPr>
      </w:pPr>
    </w:p>
    <w:p w:rsidR="0016408A" w:rsidRDefault="0016408A" w:rsidP="0016408A">
      <w:pPr>
        <w:rPr>
          <w:rFonts w:ascii="Calibri" w:hAnsi="Calibri"/>
          <w:b/>
          <w:sz w:val="22"/>
        </w:rPr>
        <w:sectPr w:rsidR="0016408A" w:rsidSect="0016408A">
          <w:headerReference w:type="default" r:id="rId7"/>
          <w:footerReference w:type="even" r:id="rId8"/>
          <w:footerReference w:type="default" r:id="rId9"/>
          <w:footerReference w:type="first" r:id="rId10"/>
          <w:pgSz w:w="11906" w:h="16838" w:code="9"/>
          <w:pgMar w:top="1418" w:right="1416" w:bottom="1418" w:left="1418" w:header="709" w:footer="709" w:gutter="0"/>
          <w:pgNumType w:start="20"/>
          <w:cols w:space="708"/>
          <w:titlePg/>
          <w:docGrid w:linePitch="360"/>
        </w:sectPr>
      </w:pPr>
    </w:p>
    <w:p w:rsidR="0016408A" w:rsidRPr="00332C53" w:rsidRDefault="0016408A" w:rsidP="0016408A">
      <w:pPr>
        <w:rPr>
          <w:rFonts w:ascii="Calibri" w:hAnsi="Calibri"/>
          <w:b/>
          <w:sz w:val="22"/>
        </w:rPr>
      </w:pPr>
      <w:r w:rsidRPr="00B106F1">
        <w:rPr>
          <w:rFonts w:ascii="Calibri" w:hAnsi="Calibri"/>
          <w:b/>
          <w:sz w:val="22"/>
        </w:rPr>
        <w:lastRenderedPageBreak/>
        <w:t>PONUDBENI PREDRAČUN</w:t>
      </w:r>
      <w:r w:rsidRPr="00B106F1">
        <w:rPr>
          <w:rStyle w:val="Sprotnaopomba-sklic"/>
          <w:rFonts w:ascii="Calibri" w:hAnsi="Calibri"/>
          <w:b/>
          <w:sz w:val="22"/>
        </w:rPr>
        <w:footnoteReference w:id="2"/>
      </w:r>
    </w:p>
    <w:p w:rsidR="0016408A" w:rsidRPr="00431061" w:rsidRDefault="0016408A" w:rsidP="0016408A">
      <w:pPr>
        <w:rPr>
          <w:rFonts w:asciiTheme="minorHAnsi" w:hAnsiTheme="minorHAnsi" w:cstheme="minorHAnsi"/>
          <w:b/>
          <w:sz w:val="22"/>
          <w:szCs w:val="22"/>
        </w:rPr>
      </w:pPr>
    </w:p>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b/>
          <w:sz w:val="22"/>
          <w:szCs w:val="22"/>
        </w:rPr>
        <w:t>A. DOBAVA IN MONTAŽA PRIMARNE OPREME 20 kV STIKALIŠČA</w:t>
      </w:r>
    </w:p>
    <w:p w:rsidR="0016408A" w:rsidRPr="00431061" w:rsidRDefault="0016408A" w:rsidP="0016408A">
      <w:pPr>
        <w:rPr>
          <w:rFonts w:asciiTheme="minorHAnsi" w:hAnsiTheme="minorHAnsi" w:cstheme="minorHAnsi"/>
          <w:sz w:val="22"/>
          <w:szCs w:val="22"/>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16408A" w:rsidRPr="00431061" w:rsidTr="00A91B77">
        <w:trPr>
          <w:cantSplit/>
          <w:tblHeader/>
        </w:trPr>
        <w:tc>
          <w:tcPr>
            <w:tcW w:w="704"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Št.</w:t>
            </w: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Opis</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Enota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Količina</w:t>
            </w:r>
          </w:p>
        </w:tc>
        <w:tc>
          <w:tcPr>
            <w:tcW w:w="1630"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Cena na enoto (EUR) (brez DDV)</w:t>
            </w:r>
          </w:p>
        </w:tc>
        <w:tc>
          <w:tcPr>
            <w:tcW w:w="1631"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 xml:space="preserve">Skupna cena (EUR) </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Vodna celica (tip 1),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1.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7</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Vodna celica (tip 2),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2.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2</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Vodna celica (tip 3) z meritvami,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3.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Vodna celica z meritvami na zbiralkah,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4.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2</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Spojna celica z ločilnikom pred in za odklopnikom,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5.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Celica lastne rabe,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6.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Dovodna (transformatorska) celica z meritvami,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7.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2</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Dovodna (elektrarniška) celica z meritvami, kovinsko </w:t>
            </w:r>
            <w:proofErr w:type="spellStart"/>
            <w:r w:rsidRPr="00431061">
              <w:rPr>
                <w:rFonts w:asciiTheme="minorHAnsi" w:hAnsiTheme="minorHAnsi" w:cstheme="minorHAnsi"/>
                <w:sz w:val="22"/>
                <w:szCs w:val="22"/>
              </w:rPr>
              <w:t>oklopljena</w:t>
            </w:r>
            <w:proofErr w:type="spellEnd"/>
            <w:r w:rsidRPr="00431061">
              <w:rPr>
                <w:rFonts w:asciiTheme="minorHAnsi" w:hAnsiTheme="minorHAnsi" w:cstheme="minorHAnsi"/>
                <w:sz w:val="22"/>
                <w:szCs w:val="22"/>
              </w:rPr>
              <w:t xml:space="preserve"> in s plinom izolirana, 24 kV, </w:t>
            </w:r>
            <w:proofErr w:type="spellStart"/>
            <w:r w:rsidRPr="00431061">
              <w:rPr>
                <w:rFonts w:asciiTheme="minorHAnsi" w:hAnsiTheme="minorHAnsi" w:cstheme="minorHAnsi"/>
                <w:sz w:val="22"/>
                <w:szCs w:val="22"/>
              </w:rPr>
              <w:t>I</w:t>
            </w:r>
            <w:r w:rsidRPr="00431061">
              <w:rPr>
                <w:rFonts w:asciiTheme="minorHAnsi" w:hAnsiTheme="minorHAnsi" w:cstheme="minorHAnsi"/>
                <w:sz w:val="22"/>
                <w:szCs w:val="22"/>
                <w:vertAlign w:val="subscript"/>
              </w:rPr>
              <w:t>k</w:t>
            </w:r>
            <w:proofErr w:type="spellEnd"/>
            <w:r w:rsidRPr="00431061">
              <w:rPr>
                <w:rFonts w:asciiTheme="minorHAnsi" w:hAnsiTheme="minorHAnsi" w:cstheme="minorHAnsi"/>
                <w:sz w:val="22"/>
                <w:szCs w:val="22"/>
              </w:rPr>
              <w:t xml:space="preserve"> = 25 </w:t>
            </w:r>
            <w:proofErr w:type="spellStart"/>
            <w:r w:rsidRPr="00431061">
              <w:rPr>
                <w:rFonts w:asciiTheme="minorHAnsi" w:hAnsiTheme="minorHAnsi" w:cstheme="minorHAnsi"/>
                <w:sz w:val="22"/>
                <w:szCs w:val="22"/>
              </w:rPr>
              <w:t>kA</w:t>
            </w:r>
            <w:proofErr w:type="spellEnd"/>
            <w:r w:rsidRPr="00431061">
              <w:rPr>
                <w:rFonts w:asciiTheme="minorHAnsi" w:hAnsiTheme="minorHAnsi" w:cstheme="minorHAnsi"/>
                <w:sz w:val="22"/>
                <w:szCs w:val="22"/>
              </w:rPr>
              <w:t>, z opremo po poglavju D. Tabeli tehničnih podatkov, točka 1. 8. Celica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Rezervni deli primarne opreme; oprema stikalnih celic po poglavju D. Tabeli tehničnih podatkov, točka 1. 9.</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Montažni material:</w:t>
            </w:r>
            <w:r w:rsidRPr="00431061">
              <w:rPr>
                <w:rFonts w:asciiTheme="minorHAnsi" w:hAnsiTheme="minorHAnsi" w:cstheme="minorHAnsi"/>
                <w:b/>
                <w:sz w:val="22"/>
                <w:szCs w:val="22"/>
              </w:rPr>
              <w:t>*</w:t>
            </w:r>
          </w:p>
          <w:p w:rsidR="0016408A" w:rsidRPr="00431061" w:rsidRDefault="0016408A" w:rsidP="0016408A">
            <w:pPr>
              <w:numPr>
                <w:ilvl w:val="0"/>
                <w:numId w:val="2"/>
              </w:numPr>
              <w:spacing w:line="300" w:lineRule="atLeast"/>
              <w:jc w:val="both"/>
              <w:rPr>
                <w:rFonts w:asciiTheme="minorHAnsi" w:hAnsiTheme="minorHAnsi" w:cstheme="minorHAnsi"/>
                <w:sz w:val="22"/>
                <w:szCs w:val="22"/>
              </w:rPr>
            </w:pPr>
            <w:r w:rsidRPr="00431061">
              <w:rPr>
                <w:rFonts w:asciiTheme="minorHAnsi" w:hAnsiTheme="minorHAnsi" w:cstheme="minorHAnsi"/>
                <w:sz w:val="22"/>
                <w:szCs w:val="22"/>
              </w:rPr>
              <w:t>montažni material za ozemljitev primarne opreme</w:t>
            </w:r>
          </w:p>
          <w:p w:rsidR="0016408A" w:rsidRPr="00431061" w:rsidRDefault="0016408A" w:rsidP="0016408A">
            <w:pPr>
              <w:numPr>
                <w:ilvl w:val="0"/>
                <w:numId w:val="2"/>
              </w:numPr>
              <w:spacing w:line="300" w:lineRule="atLeast"/>
              <w:rPr>
                <w:rFonts w:asciiTheme="minorHAnsi" w:hAnsiTheme="minorHAnsi" w:cstheme="minorHAnsi"/>
                <w:sz w:val="22"/>
                <w:szCs w:val="22"/>
              </w:rPr>
            </w:pPr>
            <w:r w:rsidRPr="00431061">
              <w:rPr>
                <w:rFonts w:asciiTheme="minorHAnsi" w:hAnsiTheme="minorHAnsi" w:cstheme="minorHAnsi"/>
                <w:sz w:val="22"/>
                <w:szCs w:val="22"/>
              </w:rPr>
              <w:t>vijačni material za pritrditev SN opreme v prostoru,</w:t>
            </w:r>
          </w:p>
          <w:p w:rsidR="0016408A" w:rsidRPr="00431061" w:rsidRDefault="0016408A" w:rsidP="0016408A">
            <w:pPr>
              <w:numPr>
                <w:ilvl w:val="0"/>
                <w:numId w:val="2"/>
              </w:numPr>
              <w:spacing w:line="300" w:lineRule="atLeast"/>
              <w:rPr>
                <w:rFonts w:asciiTheme="minorHAnsi" w:hAnsiTheme="minorHAnsi" w:cstheme="minorHAnsi"/>
                <w:sz w:val="22"/>
                <w:szCs w:val="22"/>
              </w:rPr>
            </w:pPr>
            <w:r w:rsidRPr="00431061">
              <w:rPr>
                <w:rFonts w:asciiTheme="minorHAnsi" w:hAnsiTheme="minorHAnsi" w:cstheme="minorHAnsi"/>
                <w:sz w:val="22"/>
                <w:szCs w:val="22"/>
              </w:rPr>
              <w:t>drobni montažni material</w:t>
            </w:r>
          </w:p>
        </w:tc>
        <w:tc>
          <w:tcPr>
            <w:tcW w:w="992" w:type="dxa"/>
          </w:tcPr>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 xml:space="preserve">komplet </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Montaža opreme 20 kV stikališča, izdelava nulti servisa po montaži ter sodelovanje pri funkcionalnih preizkusih in spuščanju v pogon (poz. A1 do A10)</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in montaža napisnih ploščic primarne opreme iz poglavja C. Posebni tehnični pogoji, točka 3. 2.</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Dodatni rezervni deli (po specifikaciji ponudnika) in specialna orodja, potrebna za montažo opreme, njen pregled in vzdrževanje</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in polaganje izolacijske preproge dimenzij 10,5x 1,2 m</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Tehnična dokumentacija za vso dobavljeno opremo po posameznih sklopih (fazah) iz poglavja B, Splošni tehnični pogoji, točka 11.</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Prevzem primarne opreme v tovarni vključno s prevzemnimi preizkušanji ter VN preizkusom po montaži 20 kV celic</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Usposabljanja osebja naročnika za rokovanje z dobavljeno primarno opremo, v obsegu ter skladno s pogoji iz poglavja B, Splošni tehnični pogoji, točka 7.</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Ostali stroški</w:t>
            </w:r>
          </w:p>
          <w:p w:rsidR="0016408A" w:rsidRPr="00431061" w:rsidRDefault="0016408A" w:rsidP="0016408A">
            <w:pPr>
              <w:numPr>
                <w:ilvl w:val="0"/>
                <w:numId w:val="2"/>
              </w:numPr>
              <w:spacing w:line="300" w:lineRule="atLeast"/>
              <w:jc w:val="both"/>
              <w:rPr>
                <w:rFonts w:asciiTheme="minorHAnsi" w:hAnsiTheme="minorHAnsi" w:cstheme="minorHAnsi"/>
                <w:sz w:val="22"/>
                <w:szCs w:val="22"/>
              </w:rPr>
            </w:pPr>
            <w:r w:rsidRPr="00431061">
              <w:rPr>
                <w:rFonts w:asciiTheme="minorHAnsi" w:hAnsiTheme="minorHAnsi" w:cstheme="minorHAnsi"/>
                <w:sz w:val="22"/>
                <w:szCs w:val="22"/>
              </w:rPr>
              <w:t>Embalaža</w:t>
            </w:r>
          </w:p>
          <w:p w:rsidR="0016408A" w:rsidRPr="00431061" w:rsidRDefault="0016408A" w:rsidP="0016408A">
            <w:pPr>
              <w:numPr>
                <w:ilvl w:val="0"/>
                <w:numId w:val="2"/>
              </w:numPr>
              <w:spacing w:line="300" w:lineRule="atLeast"/>
              <w:jc w:val="both"/>
              <w:rPr>
                <w:rFonts w:asciiTheme="minorHAnsi" w:hAnsiTheme="minorHAnsi" w:cstheme="minorHAnsi"/>
                <w:sz w:val="22"/>
                <w:szCs w:val="22"/>
              </w:rPr>
            </w:pPr>
            <w:r w:rsidRPr="00431061">
              <w:rPr>
                <w:rFonts w:asciiTheme="minorHAnsi" w:hAnsiTheme="minorHAnsi" w:cstheme="minorHAnsi"/>
                <w:sz w:val="22"/>
                <w:szCs w:val="22"/>
              </w:rPr>
              <w:t>Transport</w:t>
            </w:r>
          </w:p>
          <w:p w:rsidR="0016408A" w:rsidRPr="00431061" w:rsidRDefault="0016408A" w:rsidP="0016408A">
            <w:pPr>
              <w:numPr>
                <w:ilvl w:val="0"/>
                <w:numId w:val="2"/>
              </w:numPr>
              <w:spacing w:line="300" w:lineRule="atLeast"/>
              <w:jc w:val="both"/>
              <w:rPr>
                <w:rFonts w:asciiTheme="minorHAnsi" w:hAnsiTheme="minorHAnsi" w:cstheme="minorHAnsi"/>
                <w:sz w:val="22"/>
                <w:szCs w:val="22"/>
              </w:rPr>
            </w:pPr>
            <w:r w:rsidRPr="00431061">
              <w:rPr>
                <w:rFonts w:asciiTheme="minorHAnsi" w:hAnsiTheme="minorHAnsi" w:cstheme="minorHAnsi"/>
                <w:sz w:val="22"/>
                <w:szCs w:val="22"/>
              </w:rPr>
              <w:t>Zavarovanje</w:t>
            </w:r>
          </w:p>
          <w:p w:rsidR="0016408A" w:rsidRPr="00431061" w:rsidRDefault="0016408A" w:rsidP="0016408A">
            <w:pPr>
              <w:numPr>
                <w:ilvl w:val="0"/>
                <w:numId w:val="2"/>
              </w:numPr>
              <w:spacing w:line="300" w:lineRule="atLeast"/>
              <w:jc w:val="both"/>
              <w:rPr>
                <w:rFonts w:asciiTheme="minorHAnsi" w:hAnsiTheme="minorHAnsi" w:cstheme="minorHAnsi"/>
                <w:sz w:val="22"/>
                <w:szCs w:val="22"/>
              </w:rPr>
            </w:pPr>
            <w:r w:rsidRPr="00431061">
              <w:rPr>
                <w:rFonts w:asciiTheme="minorHAnsi" w:hAnsiTheme="minorHAnsi" w:cstheme="minorHAnsi"/>
                <w:sz w:val="22"/>
                <w:szCs w:val="22"/>
              </w:rPr>
              <w:t>Garancije</w:t>
            </w:r>
          </w:p>
        </w:tc>
        <w:tc>
          <w:tcPr>
            <w:tcW w:w="992" w:type="dxa"/>
          </w:tcPr>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1"/>
              </w:numPr>
              <w:tabs>
                <w:tab w:val="clear" w:pos="786"/>
                <w:tab w:val="num" w:pos="360"/>
              </w:tabs>
              <w:spacing w:line="300" w:lineRule="atLeast"/>
              <w:ind w:left="170" w:hanging="360"/>
              <w:jc w:val="righ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SKUPAJ (pozicije A1 – A18)</w:t>
            </w:r>
          </w:p>
        </w:tc>
        <w:tc>
          <w:tcPr>
            <w:tcW w:w="992" w:type="dxa"/>
          </w:tcPr>
          <w:p w:rsidR="0016408A" w:rsidRPr="00431061" w:rsidRDefault="0016408A" w:rsidP="00A91B77">
            <w:pPr>
              <w:jc w:val="center"/>
              <w:rPr>
                <w:rFonts w:asciiTheme="minorHAnsi" w:hAnsiTheme="minorHAnsi" w:cstheme="minorHAnsi"/>
                <w:sz w:val="22"/>
                <w:szCs w:val="22"/>
              </w:rPr>
            </w:pPr>
          </w:p>
        </w:tc>
        <w:tc>
          <w:tcPr>
            <w:tcW w:w="992" w:type="dxa"/>
          </w:tcPr>
          <w:p w:rsidR="0016408A" w:rsidRPr="00431061" w:rsidRDefault="0016408A" w:rsidP="00A91B77">
            <w:pPr>
              <w:jc w:val="center"/>
              <w:rPr>
                <w:rFonts w:asciiTheme="minorHAnsi" w:hAnsiTheme="minorHAnsi" w:cstheme="minorHAnsi"/>
                <w:sz w:val="22"/>
                <w:szCs w:val="22"/>
              </w:rPr>
            </w:pPr>
          </w:p>
        </w:tc>
        <w:tc>
          <w:tcPr>
            <w:tcW w:w="1630" w:type="dxa"/>
          </w:tcPr>
          <w:p w:rsidR="0016408A" w:rsidRPr="00431061" w:rsidRDefault="0016408A" w:rsidP="00A91B77">
            <w:pPr>
              <w:jc w:val="center"/>
              <w:rPr>
                <w:rFonts w:asciiTheme="minorHAnsi" w:hAnsiTheme="minorHAnsi" w:cstheme="minorHAnsi"/>
                <w:sz w:val="22"/>
                <w:szCs w:val="22"/>
              </w:rPr>
            </w:pPr>
          </w:p>
        </w:tc>
        <w:tc>
          <w:tcPr>
            <w:tcW w:w="1631" w:type="dxa"/>
          </w:tcPr>
          <w:p w:rsidR="0016408A" w:rsidRPr="00431061" w:rsidRDefault="0016408A" w:rsidP="00A91B77">
            <w:pPr>
              <w:jc w:val="center"/>
              <w:rPr>
                <w:rFonts w:asciiTheme="minorHAnsi" w:hAnsiTheme="minorHAnsi" w:cstheme="minorHAnsi"/>
                <w:sz w:val="22"/>
                <w:szCs w:val="22"/>
              </w:rPr>
            </w:pPr>
          </w:p>
        </w:tc>
      </w:tr>
    </w:tbl>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b/>
          <w:sz w:val="22"/>
          <w:szCs w:val="22"/>
        </w:rPr>
        <w:br w:type="page"/>
      </w:r>
      <w:r w:rsidRPr="00431061">
        <w:rPr>
          <w:rFonts w:asciiTheme="minorHAnsi" w:hAnsiTheme="minorHAnsi" w:cstheme="minorHAnsi"/>
          <w:b/>
          <w:sz w:val="22"/>
          <w:szCs w:val="22"/>
        </w:rPr>
        <w:lastRenderedPageBreak/>
        <w:t>B. DOBAVA IN MONTAŽA SEKUNDARNE OPREME 20 kV STIKALIŠČA</w:t>
      </w:r>
    </w:p>
    <w:p w:rsidR="0016408A" w:rsidRPr="00431061" w:rsidRDefault="0016408A" w:rsidP="0016408A">
      <w:pPr>
        <w:rPr>
          <w:rFonts w:asciiTheme="minorHAnsi" w:hAnsiTheme="minorHAnsi" w:cstheme="minorHAnsi"/>
          <w:b/>
          <w:sz w:val="22"/>
          <w:szCs w:val="22"/>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16408A" w:rsidRPr="00431061" w:rsidTr="00A91B77">
        <w:trPr>
          <w:cantSplit/>
          <w:tblHeader/>
        </w:trPr>
        <w:tc>
          <w:tcPr>
            <w:tcW w:w="704"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Št.</w:t>
            </w: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Opis</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Enota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Količina</w:t>
            </w:r>
          </w:p>
        </w:tc>
        <w:tc>
          <w:tcPr>
            <w:tcW w:w="1701"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 xml:space="preserve">Cena na enoto (EUR) </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c>
          <w:tcPr>
            <w:tcW w:w="1560"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Skupna cena (EUR)</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Oprema v NN krmilni omarici, montirani na 20 kV vodni celici (tip 1), in 20 kV vodni celici (tip 2), po poglavju D. Tabeli tehničnih podatkov, točka 2. 2. 3. NN omarica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9</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Oprema v NN krmilni omarici, montirani na 20 kV vodni celici (tip 3), po poglavju D. Tabeli tehničnih podatkov, točka 2. 2. 4. NN omarica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Oprema v NN krmilni omarici, montirani na 20 kV vodni celici z meritvami napetosti na zbiralnicah, po poglavju D. Tabeli tehničnih podatkov, točka 2. 3. 3. NN omarica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2</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Oprema v NN krmilni omarici, montirani na 20 kV spojni celici, po poglavju D. Tabeli tehničnih podatkov, točka 2. 4. 2. NN omarica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Oprema v NN krmilni omarici, montirani na 20 kV celici lastne rabe, po poglavju D. Tabeli tehničnih podatkov, točka 2. 4. 3. NN omarica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Oprema v NN krmilni omarici, montirani na 20 kV dovodni (transformatorski) celici, po poglavju D. Tabeli tehničnih podatkov, točka 2. 5. 3. NN omarica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2</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Oprema v NN krmilni omarici, montirani na 20 kV dovodni (elektrarniški) celici, po poglavju D. Tabeli tehničnih podatkov, točka 2. 5. 4. NN omarica mora biti v celoti ožičena.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Enota vodenja lastne rabe, po poglavju D. Tabeli tehničnih podatkov, točka 2. 6. 1.</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Omara za namestitev opreme sistema vodenja 20 kV stikališča, po poglavju D. Tabeli tehničnih podatkov, točka 2. 7. 1. z vgrajeno kompletno opremo, točka 2. 7. 2.</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Postajni računalnik z nameščeno lokalno SCADO, po poglavju D. Tabeli tehničnih podatkov, točka 2. 8. 1.</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Računalnik za nadzor zaščite, po poglavju D. Tabeli tehničnih podatkov, točka 2. 8. 2.</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Merilna omara za namestitev opreme obračunskih meritev (2 merilni mesti) (=A), po poglavju D. Tabeli tehničnih podatkov, točka 2. 9. 1. z vgrajeno opremo</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Rezervni deli sekundarne opreme po poglavju D. Tabeli tehničnih podatkov, točka 2. 10. 1.</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Montažni material:</w:t>
            </w:r>
            <w:r w:rsidRPr="00431061">
              <w:rPr>
                <w:rFonts w:asciiTheme="minorHAnsi" w:hAnsiTheme="minorHAnsi" w:cstheme="minorHAnsi"/>
                <w:b/>
                <w:sz w:val="22"/>
                <w:szCs w:val="22"/>
              </w:rPr>
              <w:t>*</w:t>
            </w:r>
          </w:p>
          <w:p w:rsidR="0016408A" w:rsidRPr="00431061" w:rsidRDefault="0016408A" w:rsidP="0016408A">
            <w:pPr>
              <w:numPr>
                <w:ilvl w:val="0"/>
                <w:numId w:val="2"/>
              </w:numPr>
              <w:spacing w:line="300" w:lineRule="atLeast"/>
              <w:jc w:val="both"/>
              <w:rPr>
                <w:rFonts w:asciiTheme="minorHAnsi" w:hAnsiTheme="minorHAnsi" w:cstheme="minorHAnsi"/>
                <w:sz w:val="22"/>
                <w:szCs w:val="22"/>
              </w:rPr>
            </w:pPr>
            <w:r w:rsidRPr="00431061">
              <w:rPr>
                <w:rFonts w:asciiTheme="minorHAnsi" w:hAnsiTheme="minorHAnsi" w:cstheme="minorHAnsi"/>
                <w:sz w:val="22"/>
                <w:szCs w:val="22"/>
              </w:rPr>
              <w:t>montažni material za ozemljitev sekundarne opreme</w:t>
            </w:r>
          </w:p>
          <w:p w:rsidR="0016408A" w:rsidRPr="00431061" w:rsidRDefault="0016408A" w:rsidP="0016408A">
            <w:pPr>
              <w:numPr>
                <w:ilvl w:val="0"/>
                <w:numId w:val="2"/>
              </w:numPr>
              <w:spacing w:line="300" w:lineRule="atLeast"/>
              <w:rPr>
                <w:rFonts w:asciiTheme="minorHAnsi" w:hAnsiTheme="minorHAnsi" w:cstheme="minorHAnsi"/>
                <w:sz w:val="22"/>
                <w:szCs w:val="22"/>
              </w:rPr>
            </w:pPr>
            <w:r w:rsidRPr="00431061">
              <w:rPr>
                <w:rFonts w:asciiTheme="minorHAnsi" w:hAnsiTheme="minorHAnsi" w:cstheme="minorHAnsi"/>
                <w:sz w:val="22"/>
                <w:szCs w:val="22"/>
              </w:rPr>
              <w:t>vijačni material za pritrditev sekundarne opreme v prostoru,</w:t>
            </w:r>
          </w:p>
          <w:p w:rsidR="0016408A" w:rsidRPr="00431061" w:rsidRDefault="0016408A" w:rsidP="0016408A">
            <w:pPr>
              <w:numPr>
                <w:ilvl w:val="0"/>
                <w:numId w:val="2"/>
              </w:numPr>
              <w:spacing w:line="300" w:lineRule="atLeast"/>
              <w:rPr>
                <w:rFonts w:asciiTheme="minorHAnsi" w:hAnsiTheme="minorHAnsi" w:cstheme="minorHAnsi"/>
                <w:sz w:val="22"/>
                <w:szCs w:val="22"/>
              </w:rPr>
            </w:pPr>
            <w:r w:rsidRPr="00431061">
              <w:rPr>
                <w:rFonts w:asciiTheme="minorHAnsi" w:hAnsiTheme="minorHAnsi" w:cstheme="minorHAnsi"/>
                <w:sz w:val="22"/>
                <w:szCs w:val="22"/>
              </w:rPr>
              <w:t>drobni montažni material</w:t>
            </w:r>
          </w:p>
        </w:tc>
        <w:tc>
          <w:tcPr>
            <w:tcW w:w="992" w:type="dxa"/>
          </w:tcPr>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 xml:space="preserve">komplet </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in montaža vseh potrebnih NN napajalnih, signalno – krmilnih, merilnih in komunikacijskih kablov, po specifikaciji ponudnika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Montaža sekundarne opreme 20 kV stikališča, postavitev lokalne SCADE, </w:t>
            </w:r>
            <w:proofErr w:type="spellStart"/>
            <w:r w:rsidRPr="00431061">
              <w:rPr>
                <w:rFonts w:asciiTheme="minorHAnsi" w:hAnsiTheme="minorHAnsi" w:cstheme="minorHAnsi"/>
                <w:sz w:val="22"/>
                <w:szCs w:val="22"/>
              </w:rPr>
              <w:t>parametriranje</w:t>
            </w:r>
            <w:proofErr w:type="spellEnd"/>
            <w:r w:rsidRPr="00431061">
              <w:rPr>
                <w:rFonts w:asciiTheme="minorHAnsi" w:hAnsiTheme="minorHAnsi" w:cstheme="minorHAnsi"/>
                <w:sz w:val="22"/>
                <w:szCs w:val="22"/>
              </w:rPr>
              <w:t>, sodelovanje pri funkcionalnih preizkusih in spuščanju v pogon (poz. B1 do B15)</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Projektna dokumentacija sekundarne opreme po poglavju B. Splošni tehnični pogoji, točka 3.</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Podpora na strani komunikacijskega računalnika in lokalne SCADE pri vključevanju 20 kV stikališča v center vodenja DCV in RDCV Elektro Gorenjska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Montaža enote vodenja lastne rabe v obstoječo omaro razvodov lastne rabe </w:t>
            </w:r>
            <w:r w:rsidRPr="00431061">
              <w:rPr>
                <w:rFonts w:asciiTheme="minorHAnsi" w:hAnsiTheme="minorHAnsi" w:cstheme="minorHAnsi"/>
                <w:bCs/>
                <w:sz w:val="22"/>
                <w:szCs w:val="22"/>
              </w:rPr>
              <w:t>(=NE/NJ/NK+LR), priklop na obstoječe ožičenje</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 xml:space="preserve">Dobava in montaža napisnih ploščic sekundarne opreme iz poglavja C. Tabeli posebnih tehničnih pogojev, točka 3. 2. </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p w:rsidR="0016408A" w:rsidRPr="00431061" w:rsidRDefault="0016408A" w:rsidP="00A91B77">
            <w:pPr>
              <w:jc w:val="center"/>
              <w:rPr>
                <w:rFonts w:asciiTheme="minorHAnsi" w:hAnsiTheme="minorHAnsi" w:cstheme="minorHAnsi"/>
                <w:sz w:val="22"/>
                <w:szCs w:val="22"/>
              </w:rPr>
            </w:pP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Tehnična dokumentacija za vso dobavljeno opremo po posameznih sklopih (fazah)  iz poglavja B, splošnih tehničnih pogojev, točka 11.</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Prevzem sekundarne opreme (oprema vodenja in zaščite) v tovarni vključno s prevzemnimi preizkušanji</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Usposabljanja osebja naročnika za rokovanje z dobavljeno sekundarno opremo, v obsegu ter skladno s pogoji iz poglavja B, Splošni tehnični pogoji, točka 7.</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3"/>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Skupna cena (pozicije B1 do B23)</w:t>
            </w:r>
          </w:p>
        </w:tc>
        <w:tc>
          <w:tcPr>
            <w:tcW w:w="992" w:type="dxa"/>
          </w:tcPr>
          <w:p w:rsidR="0016408A" w:rsidRPr="00431061" w:rsidRDefault="0016408A" w:rsidP="00A91B77">
            <w:pPr>
              <w:jc w:val="center"/>
              <w:rPr>
                <w:rFonts w:asciiTheme="minorHAnsi" w:hAnsiTheme="minorHAnsi" w:cstheme="minorHAnsi"/>
                <w:sz w:val="22"/>
                <w:szCs w:val="22"/>
              </w:rPr>
            </w:pPr>
          </w:p>
        </w:tc>
        <w:tc>
          <w:tcPr>
            <w:tcW w:w="992" w:type="dxa"/>
          </w:tcPr>
          <w:p w:rsidR="0016408A" w:rsidRPr="00431061" w:rsidRDefault="0016408A" w:rsidP="00A91B77">
            <w:pPr>
              <w:jc w:val="center"/>
              <w:rPr>
                <w:rFonts w:asciiTheme="minorHAnsi" w:hAnsiTheme="minorHAnsi" w:cstheme="minorHAnsi"/>
                <w:sz w:val="22"/>
                <w:szCs w:val="22"/>
              </w:rPr>
            </w:pP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bl>
    <w:p w:rsidR="0016408A" w:rsidRPr="00431061" w:rsidRDefault="0016408A" w:rsidP="0016408A">
      <w:pPr>
        <w:rPr>
          <w:rFonts w:asciiTheme="minorHAnsi" w:hAnsiTheme="minorHAnsi" w:cstheme="minorHAnsi"/>
          <w:b/>
          <w:sz w:val="22"/>
          <w:szCs w:val="22"/>
        </w:rPr>
      </w:pPr>
    </w:p>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sz w:val="22"/>
          <w:szCs w:val="22"/>
        </w:rPr>
        <w:t>* popis montažnega materiala je informativen in lahko deloma odstopa zaradi specifike ponujene opreme in zaradi manjših modifikacij projektne dokumentacije</w:t>
      </w:r>
    </w:p>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b/>
          <w:sz w:val="22"/>
          <w:szCs w:val="22"/>
        </w:rPr>
        <w:br w:type="page"/>
      </w:r>
      <w:r w:rsidRPr="00431061">
        <w:rPr>
          <w:rFonts w:asciiTheme="minorHAnsi" w:hAnsiTheme="minorHAnsi" w:cstheme="minorHAnsi"/>
          <w:b/>
          <w:sz w:val="22"/>
          <w:szCs w:val="22"/>
        </w:rPr>
        <w:lastRenderedPageBreak/>
        <w:t>C. JEKLENE KONSTRUKCIJE, KABELSKE POLICE IN OZEMLJITVE</w:t>
      </w:r>
    </w:p>
    <w:p w:rsidR="0016408A" w:rsidRPr="00431061" w:rsidRDefault="0016408A" w:rsidP="0016408A">
      <w:pPr>
        <w:rPr>
          <w:rFonts w:asciiTheme="minorHAnsi" w:hAnsiTheme="minorHAnsi" w:cstheme="minorHAnsi"/>
          <w:sz w:val="22"/>
          <w:szCs w:val="22"/>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16408A" w:rsidRPr="00431061" w:rsidTr="00A91B77">
        <w:trPr>
          <w:cantSplit/>
          <w:tblHeader/>
        </w:trPr>
        <w:tc>
          <w:tcPr>
            <w:tcW w:w="704"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Št.</w:t>
            </w: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Opis</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Enota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Količina</w:t>
            </w:r>
          </w:p>
        </w:tc>
        <w:tc>
          <w:tcPr>
            <w:tcW w:w="1701"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 xml:space="preserve">Cena na enoto (EUR) </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c>
          <w:tcPr>
            <w:tcW w:w="1560"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Skupna cena (EUR)</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r>
      <w:tr w:rsidR="0016408A" w:rsidRPr="00431061" w:rsidTr="00A91B77">
        <w:trPr>
          <w:cantSplit/>
        </w:trPr>
        <w:tc>
          <w:tcPr>
            <w:tcW w:w="704" w:type="dxa"/>
          </w:tcPr>
          <w:p w:rsidR="0016408A" w:rsidRPr="00431061" w:rsidRDefault="0016408A" w:rsidP="0016408A">
            <w:pPr>
              <w:numPr>
                <w:ilvl w:val="0"/>
                <w:numId w:val="4"/>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izdelava in montaža jeklenih konstrukcij, podstavkov, konzol nosilcev, pokrovov, iz poglavja C. Posebni tehnični pogoji, točka 4., vroče cinkane, s pripravo površine po EN ISO 1461, vključno z montažo ter spojnim in pritrdilnim materialom</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kg</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3500</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4"/>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in montaža nadometnih kabelskih PK polic in kanalov, za polaganje vseh potrebnih NN napajalnih, signalno-krmilnih, merilnih in telekomunikacijskih kablov</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4"/>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materiala in izvedba notranjega ozemljitvenega sistema objekta RP (ozemljitveni obroč v kleti in dvojnem podu komandnega prostora), kompletno s povezavami na obstoječ zunanji ozemljitven sistem</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4"/>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ustreznega materiala in izdelava ozemljitev vse ponujene opreme, povezava na združeno ozemljitev objekta, vključno s spojnim, veznim in pritrdilnim materialom</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4"/>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Skupna cena (pozicije C1 do C4)</w:t>
            </w:r>
          </w:p>
        </w:tc>
        <w:tc>
          <w:tcPr>
            <w:tcW w:w="992" w:type="dxa"/>
          </w:tcPr>
          <w:p w:rsidR="0016408A" w:rsidRPr="00431061" w:rsidRDefault="0016408A" w:rsidP="00A91B77">
            <w:pPr>
              <w:jc w:val="center"/>
              <w:rPr>
                <w:rFonts w:asciiTheme="minorHAnsi" w:hAnsiTheme="minorHAnsi" w:cstheme="minorHAnsi"/>
                <w:sz w:val="22"/>
                <w:szCs w:val="22"/>
              </w:rPr>
            </w:pPr>
          </w:p>
        </w:tc>
        <w:tc>
          <w:tcPr>
            <w:tcW w:w="992" w:type="dxa"/>
          </w:tcPr>
          <w:p w:rsidR="0016408A" w:rsidRPr="00431061" w:rsidRDefault="0016408A" w:rsidP="00A91B77">
            <w:pPr>
              <w:jc w:val="center"/>
              <w:rPr>
                <w:rFonts w:asciiTheme="minorHAnsi" w:hAnsiTheme="minorHAnsi" w:cstheme="minorHAnsi"/>
                <w:sz w:val="22"/>
                <w:szCs w:val="22"/>
              </w:rPr>
            </w:pP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bl>
    <w:p w:rsidR="0016408A" w:rsidRPr="00431061" w:rsidRDefault="0016408A" w:rsidP="0016408A">
      <w:pPr>
        <w:rPr>
          <w:rFonts w:asciiTheme="minorHAnsi" w:hAnsiTheme="minorHAnsi" w:cstheme="minorHAnsi"/>
          <w:sz w:val="22"/>
          <w:szCs w:val="22"/>
        </w:rPr>
      </w:pPr>
    </w:p>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b/>
          <w:sz w:val="22"/>
          <w:szCs w:val="22"/>
        </w:rPr>
        <w:br w:type="page"/>
      </w:r>
      <w:r w:rsidRPr="00431061">
        <w:rPr>
          <w:rFonts w:asciiTheme="minorHAnsi" w:hAnsiTheme="minorHAnsi" w:cstheme="minorHAnsi"/>
          <w:b/>
          <w:sz w:val="22"/>
          <w:szCs w:val="22"/>
        </w:rPr>
        <w:lastRenderedPageBreak/>
        <w:t>D. STROKOVNA OCENA</w:t>
      </w:r>
    </w:p>
    <w:p w:rsidR="0016408A" w:rsidRPr="00431061" w:rsidRDefault="0016408A" w:rsidP="0016408A">
      <w:pPr>
        <w:rPr>
          <w:rFonts w:asciiTheme="minorHAnsi" w:hAnsiTheme="minorHAnsi" w:cstheme="minorHAnsi"/>
          <w:sz w:val="22"/>
          <w:szCs w:val="22"/>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16408A" w:rsidRPr="00431061" w:rsidTr="00A91B77">
        <w:trPr>
          <w:cantSplit/>
          <w:tblHeader/>
        </w:trPr>
        <w:tc>
          <w:tcPr>
            <w:tcW w:w="704"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Št.</w:t>
            </w: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Opis</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Enota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Količina</w:t>
            </w:r>
          </w:p>
        </w:tc>
        <w:tc>
          <w:tcPr>
            <w:tcW w:w="1701"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 xml:space="preserve">Cena na enoto (EUR) </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c>
          <w:tcPr>
            <w:tcW w:w="1560"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Skupna cena (EUR)</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r>
      <w:tr w:rsidR="0016408A" w:rsidRPr="00431061" w:rsidTr="00A91B77">
        <w:trPr>
          <w:cantSplit/>
        </w:trPr>
        <w:tc>
          <w:tcPr>
            <w:tcW w:w="704" w:type="dxa"/>
          </w:tcPr>
          <w:p w:rsidR="0016408A" w:rsidRPr="00431061" w:rsidRDefault="0016408A" w:rsidP="0016408A">
            <w:pPr>
              <w:numPr>
                <w:ilvl w:val="0"/>
                <w:numId w:val="6"/>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Izvedba strokovnega pregleda postrojev, opreme in inštalacij in izdelava strokovne ocene za predmetni objekt, za obseg del po tej razpisni dokumentaciji, skladno s točko 11. 5 iz poglavja B, splošni tehnični pogoji.</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16408A">
            <w:pPr>
              <w:numPr>
                <w:ilvl w:val="0"/>
                <w:numId w:val="6"/>
              </w:numPr>
              <w:spacing w:line="300" w:lineRule="atLeast"/>
              <w:rPr>
                <w:rFonts w:asciiTheme="minorHAnsi" w:hAnsiTheme="minorHAnsi" w:cstheme="minorHAnsi"/>
                <w:sz w:val="22"/>
                <w:szCs w:val="22"/>
              </w:rPr>
            </w:pPr>
          </w:p>
        </w:tc>
        <w:tc>
          <w:tcPr>
            <w:tcW w:w="3544" w:type="dxa"/>
          </w:tcPr>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Skupna cena (pozicija D1)</w:t>
            </w:r>
          </w:p>
        </w:tc>
        <w:tc>
          <w:tcPr>
            <w:tcW w:w="992" w:type="dxa"/>
          </w:tcPr>
          <w:p w:rsidR="0016408A" w:rsidRPr="00431061" w:rsidRDefault="0016408A" w:rsidP="00A91B77">
            <w:pPr>
              <w:jc w:val="center"/>
              <w:rPr>
                <w:rFonts w:asciiTheme="minorHAnsi" w:hAnsiTheme="minorHAnsi" w:cstheme="minorHAnsi"/>
                <w:sz w:val="22"/>
                <w:szCs w:val="22"/>
              </w:rPr>
            </w:pPr>
          </w:p>
        </w:tc>
        <w:tc>
          <w:tcPr>
            <w:tcW w:w="992" w:type="dxa"/>
          </w:tcPr>
          <w:p w:rsidR="0016408A" w:rsidRPr="00431061" w:rsidRDefault="0016408A" w:rsidP="00A91B77">
            <w:pPr>
              <w:jc w:val="center"/>
              <w:rPr>
                <w:rFonts w:asciiTheme="minorHAnsi" w:hAnsiTheme="minorHAnsi" w:cstheme="minorHAnsi"/>
                <w:sz w:val="22"/>
                <w:szCs w:val="22"/>
              </w:rPr>
            </w:pP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bl>
    <w:p w:rsidR="0016408A" w:rsidRPr="00431061" w:rsidRDefault="0016408A" w:rsidP="0016408A">
      <w:pPr>
        <w:rPr>
          <w:rFonts w:asciiTheme="minorHAnsi" w:hAnsiTheme="minorHAnsi" w:cstheme="minorHAnsi"/>
          <w:sz w:val="22"/>
          <w:szCs w:val="22"/>
        </w:rPr>
      </w:pPr>
    </w:p>
    <w:p w:rsidR="0016408A" w:rsidRPr="00431061" w:rsidRDefault="0016408A" w:rsidP="0016408A">
      <w:pPr>
        <w:rPr>
          <w:rFonts w:asciiTheme="minorHAnsi" w:hAnsiTheme="minorHAnsi" w:cstheme="minorHAnsi"/>
          <w:sz w:val="22"/>
          <w:szCs w:val="22"/>
        </w:rPr>
      </w:pPr>
      <w:r w:rsidRPr="00431061">
        <w:rPr>
          <w:rFonts w:asciiTheme="minorHAnsi" w:hAnsiTheme="minorHAnsi" w:cstheme="minorHAnsi"/>
          <w:sz w:val="22"/>
          <w:szCs w:val="22"/>
        </w:rPr>
        <w:t>* popis montažnega materiala je informativen in lahko deloma odstopa zaradi specifike ponujene opreme in zaradi manjših modifikacij projektne dokumentacije</w:t>
      </w:r>
    </w:p>
    <w:p w:rsidR="0016408A" w:rsidRPr="00431061" w:rsidRDefault="0016408A" w:rsidP="0016408A">
      <w:pPr>
        <w:rPr>
          <w:rFonts w:asciiTheme="minorHAnsi" w:hAnsiTheme="minorHAnsi" w:cstheme="minorHAnsi"/>
          <w:sz w:val="22"/>
          <w:szCs w:val="22"/>
        </w:rPr>
      </w:pPr>
    </w:p>
    <w:p w:rsidR="0016408A" w:rsidRPr="00431061" w:rsidRDefault="0016408A" w:rsidP="0016408A">
      <w:pPr>
        <w:rPr>
          <w:rFonts w:asciiTheme="minorHAnsi" w:hAnsiTheme="minorHAnsi" w:cstheme="minorHAnsi"/>
          <w:sz w:val="22"/>
          <w:szCs w:val="22"/>
        </w:rPr>
      </w:pPr>
    </w:p>
    <w:p w:rsidR="0016408A" w:rsidRPr="00431061" w:rsidRDefault="0016408A" w:rsidP="0016408A">
      <w:pPr>
        <w:rPr>
          <w:rFonts w:asciiTheme="minorHAnsi" w:hAnsiTheme="minorHAnsi" w:cstheme="minorHAnsi"/>
          <w:sz w:val="22"/>
          <w:szCs w:val="22"/>
        </w:rPr>
      </w:pPr>
    </w:p>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b/>
          <w:sz w:val="22"/>
          <w:szCs w:val="22"/>
        </w:rPr>
        <w:br w:type="page"/>
      </w:r>
      <w:r w:rsidRPr="00431061">
        <w:rPr>
          <w:rFonts w:asciiTheme="minorHAnsi" w:hAnsiTheme="minorHAnsi" w:cstheme="minorHAnsi"/>
          <w:b/>
          <w:sz w:val="22"/>
          <w:szCs w:val="22"/>
        </w:rPr>
        <w:lastRenderedPageBreak/>
        <w:t>E. VZDRŽEVANJE PO PRETEKU GARANCIJSKE DOBE</w:t>
      </w:r>
    </w:p>
    <w:p w:rsidR="0016408A" w:rsidRPr="00431061" w:rsidRDefault="0016408A" w:rsidP="0016408A">
      <w:pPr>
        <w:rPr>
          <w:rFonts w:asciiTheme="minorHAnsi" w:hAnsiTheme="minorHAnsi" w:cstheme="minorHAnsi"/>
          <w:sz w:val="22"/>
          <w:szCs w:val="22"/>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16408A" w:rsidRPr="00431061" w:rsidTr="00A91B77">
        <w:trPr>
          <w:cantSplit/>
          <w:tblHeader/>
        </w:trPr>
        <w:tc>
          <w:tcPr>
            <w:tcW w:w="704"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Št.</w:t>
            </w: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Opis</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Enota</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Količina</w:t>
            </w:r>
          </w:p>
        </w:tc>
        <w:tc>
          <w:tcPr>
            <w:tcW w:w="1701"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Cena na enoto (EUR)</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c>
          <w:tcPr>
            <w:tcW w:w="1560"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Skupna cena (EUR)</w:t>
            </w:r>
          </w:p>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(brez DDV)</w:t>
            </w:r>
          </w:p>
        </w:tc>
      </w:tr>
      <w:tr w:rsidR="0016408A" w:rsidRPr="00431061" w:rsidTr="00A91B77">
        <w:trPr>
          <w:cantSplit/>
        </w:trPr>
        <w:tc>
          <w:tcPr>
            <w:tcW w:w="70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E 1.</w:t>
            </w:r>
          </w:p>
        </w:tc>
        <w:tc>
          <w:tcPr>
            <w:tcW w:w="354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Letno vzdrževanje novega sistema sekundarne opreme (intervencijska pripravljenost in periodični pregledi) po preteku garancijske dobe po poglavju B. Splošni tehnični pogoji, točka 12.</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komplet</w:t>
            </w:r>
          </w:p>
        </w:tc>
        <w:tc>
          <w:tcPr>
            <w:tcW w:w="992"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1</w:t>
            </w: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trPr>
        <w:tc>
          <w:tcPr>
            <w:tcW w:w="70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E 2.</w:t>
            </w:r>
          </w:p>
        </w:tc>
        <w:tc>
          <w:tcPr>
            <w:tcW w:w="3544" w:type="dxa"/>
          </w:tcPr>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 xml:space="preserve">Skupna cena za 5 letno obdobje (pozicija </w:t>
            </w:r>
            <m:oMath>
              <m:r>
                <m:rPr>
                  <m:sty m:val="b"/>
                </m:rPr>
                <w:rPr>
                  <w:rFonts w:ascii="Cambria Math" w:hAnsi="Cambria Math" w:cstheme="minorHAnsi"/>
                  <w:sz w:val="22"/>
                  <w:szCs w:val="22"/>
                </w:rPr>
                <m:t>E1×5</m:t>
              </m:r>
            </m:oMath>
            <w:r w:rsidRPr="00431061">
              <w:rPr>
                <w:rFonts w:asciiTheme="minorHAnsi" w:hAnsiTheme="minorHAnsi" w:cstheme="minorHAnsi"/>
                <w:b/>
                <w:sz w:val="22"/>
                <w:szCs w:val="22"/>
              </w:rPr>
              <w:t>)</w:t>
            </w:r>
          </w:p>
        </w:tc>
        <w:tc>
          <w:tcPr>
            <w:tcW w:w="992" w:type="dxa"/>
          </w:tcPr>
          <w:p w:rsidR="0016408A" w:rsidRPr="00431061" w:rsidRDefault="0016408A" w:rsidP="00A91B77">
            <w:pPr>
              <w:jc w:val="center"/>
              <w:rPr>
                <w:rFonts w:asciiTheme="minorHAnsi" w:hAnsiTheme="minorHAnsi" w:cstheme="minorHAnsi"/>
                <w:sz w:val="22"/>
                <w:szCs w:val="22"/>
              </w:rPr>
            </w:pPr>
          </w:p>
        </w:tc>
        <w:tc>
          <w:tcPr>
            <w:tcW w:w="992" w:type="dxa"/>
          </w:tcPr>
          <w:p w:rsidR="0016408A" w:rsidRPr="00431061" w:rsidRDefault="0016408A" w:rsidP="00A91B77">
            <w:pPr>
              <w:jc w:val="center"/>
              <w:rPr>
                <w:rFonts w:asciiTheme="minorHAnsi" w:hAnsiTheme="minorHAnsi" w:cstheme="minorHAnsi"/>
                <w:sz w:val="22"/>
                <w:szCs w:val="22"/>
              </w:rPr>
            </w:pPr>
          </w:p>
        </w:tc>
        <w:tc>
          <w:tcPr>
            <w:tcW w:w="1701" w:type="dxa"/>
          </w:tcPr>
          <w:p w:rsidR="0016408A" w:rsidRPr="00431061" w:rsidRDefault="0016408A" w:rsidP="00A91B77">
            <w:pPr>
              <w:jc w:val="center"/>
              <w:rPr>
                <w:rFonts w:asciiTheme="minorHAnsi" w:hAnsiTheme="minorHAnsi" w:cstheme="minorHAnsi"/>
                <w:sz w:val="22"/>
                <w:szCs w:val="22"/>
              </w:rPr>
            </w:pPr>
          </w:p>
        </w:tc>
        <w:tc>
          <w:tcPr>
            <w:tcW w:w="1560" w:type="dxa"/>
          </w:tcPr>
          <w:p w:rsidR="0016408A" w:rsidRPr="00431061" w:rsidRDefault="0016408A" w:rsidP="00A91B77">
            <w:pPr>
              <w:jc w:val="center"/>
              <w:rPr>
                <w:rFonts w:asciiTheme="minorHAnsi" w:hAnsiTheme="minorHAnsi" w:cstheme="minorHAnsi"/>
                <w:sz w:val="22"/>
                <w:szCs w:val="22"/>
              </w:rPr>
            </w:pPr>
          </w:p>
        </w:tc>
      </w:tr>
    </w:tbl>
    <w:p w:rsidR="0016408A" w:rsidRPr="00431061" w:rsidRDefault="0016408A" w:rsidP="0016408A">
      <w:pPr>
        <w:rPr>
          <w:rFonts w:asciiTheme="minorHAnsi" w:hAnsiTheme="minorHAnsi" w:cstheme="minorHAnsi"/>
          <w:sz w:val="22"/>
          <w:szCs w:val="22"/>
        </w:rPr>
      </w:pPr>
    </w:p>
    <w:p w:rsidR="0016408A" w:rsidRPr="00431061" w:rsidRDefault="0016408A" w:rsidP="0016408A">
      <w:pPr>
        <w:rPr>
          <w:rFonts w:asciiTheme="minorHAnsi" w:hAnsiTheme="minorHAnsi" w:cstheme="minorHAnsi"/>
          <w:b/>
          <w:sz w:val="22"/>
          <w:szCs w:val="22"/>
        </w:rPr>
      </w:pPr>
    </w:p>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b/>
          <w:sz w:val="22"/>
          <w:szCs w:val="22"/>
        </w:rPr>
        <w:br w:type="page"/>
      </w:r>
    </w:p>
    <w:p w:rsidR="0016408A" w:rsidRPr="00431061" w:rsidRDefault="0016408A" w:rsidP="0016408A">
      <w:pPr>
        <w:rPr>
          <w:rFonts w:asciiTheme="minorHAnsi" w:hAnsiTheme="minorHAnsi" w:cstheme="minorHAnsi"/>
          <w:b/>
          <w:sz w:val="22"/>
          <w:szCs w:val="22"/>
        </w:rPr>
      </w:pPr>
      <w:r w:rsidRPr="00431061">
        <w:rPr>
          <w:rFonts w:asciiTheme="minorHAnsi" w:hAnsiTheme="minorHAnsi" w:cstheme="minorHAnsi"/>
          <w:b/>
          <w:sz w:val="22"/>
          <w:szCs w:val="22"/>
        </w:rPr>
        <w:lastRenderedPageBreak/>
        <w:t>F. REKAPITULACIJA</w:t>
      </w:r>
    </w:p>
    <w:p w:rsidR="0016408A" w:rsidRPr="00431061" w:rsidRDefault="0016408A" w:rsidP="0016408A">
      <w:pPr>
        <w:rPr>
          <w:rFonts w:asciiTheme="minorHAnsi" w:hAnsiTheme="minorHAnsi" w:cstheme="minorHAnsi"/>
          <w:sz w:val="22"/>
          <w:szCs w:val="22"/>
        </w:rPr>
      </w:pPr>
    </w:p>
    <w:tbl>
      <w:tblPr>
        <w:tblW w:w="84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78"/>
        <w:gridCol w:w="4394"/>
        <w:gridCol w:w="3298"/>
      </w:tblGrid>
      <w:tr w:rsidR="0016408A" w:rsidRPr="00431061" w:rsidTr="00A91B77">
        <w:trPr>
          <w:cantSplit/>
          <w:tblHeader/>
          <w:jc w:val="center"/>
        </w:trPr>
        <w:tc>
          <w:tcPr>
            <w:tcW w:w="778"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Št.</w:t>
            </w:r>
          </w:p>
        </w:tc>
        <w:tc>
          <w:tcPr>
            <w:tcW w:w="439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Opis</w:t>
            </w:r>
          </w:p>
          <w:p w:rsidR="0016408A" w:rsidRPr="00431061" w:rsidRDefault="0016408A" w:rsidP="00A91B77">
            <w:pPr>
              <w:rPr>
                <w:rFonts w:asciiTheme="minorHAnsi" w:hAnsiTheme="minorHAnsi" w:cstheme="minorHAnsi"/>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r w:rsidRPr="00431061">
              <w:rPr>
                <w:rFonts w:asciiTheme="minorHAnsi" w:hAnsiTheme="minorHAnsi" w:cstheme="minorHAnsi"/>
                <w:sz w:val="22"/>
                <w:szCs w:val="22"/>
              </w:rPr>
              <w:t xml:space="preserve">Skupna cena (EUR) </w:t>
            </w:r>
          </w:p>
        </w:tc>
      </w:tr>
      <w:tr w:rsidR="0016408A" w:rsidRPr="00431061" w:rsidTr="00A91B77">
        <w:trPr>
          <w:cantSplit/>
          <w:jc w:val="center"/>
        </w:trPr>
        <w:tc>
          <w:tcPr>
            <w:tcW w:w="778" w:type="dxa"/>
          </w:tcPr>
          <w:p w:rsidR="0016408A" w:rsidRPr="00431061" w:rsidRDefault="0016408A" w:rsidP="0016408A">
            <w:pPr>
              <w:numPr>
                <w:ilvl w:val="0"/>
                <w:numId w:val="5"/>
              </w:numPr>
              <w:spacing w:line="300" w:lineRule="atLeast"/>
              <w:rPr>
                <w:rFonts w:asciiTheme="minorHAnsi" w:hAnsiTheme="minorHAnsi" w:cstheme="minorHAnsi"/>
                <w:sz w:val="22"/>
                <w:szCs w:val="22"/>
              </w:rPr>
            </w:pPr>
          </w:p>
        </w:tc>
        <w:tc>
          <w:tcPr>
            <w:tcW w:w="439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in montaža primarne opreme 20 kV stikališča (poz. A19)</w:t>
            </w:r>
          </w:p>
          <w:p w:rsidR="0016408A" w:rsidRPr="00431061" w:rsidRDefault="0016408A" w:rsidP="00A91B77">
            <w:pPr>
              <w:rPr>
                <w:rFonts w:asciiTheme="minorHAnsi" w:hAnsiTheme="minorHAnsi" w:cstheme="minorHAnsi"/>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jc w:val="center"/>
        </w:trPr>
        <w:tc>
          <w:tcPr>
            <w:tcW w:w="778" w:type="dxa"/>
          </w:tcPr>
          <w:p w:rsidR="0016408A" w:rsidRPr="00431061" w:rsidRDefault="0016408A" w:rsidP="0016408A">
            <w:pPr>
              <w:numPr>
                <w:ilvl w:val="0"/>
                <w:numId w:val="5"/>
              </w:numPr>
              <w:spacing w:line="300" w:lineRule="atLeast"/>
              <w:rPr>
                <w:rFonts w:asciiTheme="minorHAnsi" w:hAnsiTheme="minorHAnsi" w:cstheme="minorHAnsi"/>
                <w:sz w:val="22"/>
                <w:szCs w:val="22"/>
              </w:rPr>
            </w:pPr>
          </w:p>
        </w:tc>
        <w:tc>
          <w:tcPr>
            <w:tcW w:w="439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Dobava in montaža sekundarne opreme 20 kV stikališča (poz. B24)</w:t>
            </w:r>
          </w:p>
          <w:p w:rsidR="0016408A" w:rsidRPr="00431061" w:rsidRDefault="0016408A" w:rsidP="00A91B77">
            <w:pPr>
              <w:rPr>
                <w:rFonts w:asciiTheme="minorHAnsi" w:hAnsiTheme="minorHAnsi" w:cstheme="minorHAnsi"/>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jc w:val="center"/>
        </w:trPr>
        <w:tc>
          <w:tcPr>
            <w:tcW w:w="778" w:type="dxa"/>
          </w:tcPr>
          <w:p w:rsidR="0016408A" w:rsidRPr="00431061" w:rsidRDefault="0016408A" w:rsidP="0016408A">
            <w:pPr>
              <w:numPr>
                <w:ilvl w:val="0"/>
                <w:numId w:val="5"/>
              </w:numPr>
              <w:spacing w:line="300" w:lineRule="atLeast"/>
              <w:rPr>
                <w:rFonts w:asciiTheme="minorHAnsi" w:hAnsiTheme="minorHAnsi" w:cstheme="minorHAnsi"/>
                <w:sz w:val="22"/>
                <w:szCs w:val="22"/>
              </w:rPr>
            </w:pPr>
          </w:p>
        </w:tc>
        <w:tc>
          <w:tcPr>
            <w:tcW w:w="439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Jeklene konstrukcije, kabelske police in ozemljitve (poz. C5)</w:t>
            </w:r>
          </w:p>
          <w:p w:rsidR="0016408A" w:rsidRPr="00431061" w:rsidRDefault="0016408A" w:rsidP="00A91B77">
            <w:pPr>
              <w:rPr>
                <w:rFonts w:asciiTheme="minorHAnsi" w:hAnsiTheme="minorHAnsi" w:cstheme="minorHAnsi"/>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jc w:val="center"/>
        </w:trPr>
        <w:tc>
          <w:tcPr>
            <w:tcW w:w="778" w:type="dxa"/>
          </w:tcPr>
          <w:p w:rsidR="0016408A" w:rsidRPr="00431061" w:rsidRDefault="0016408A" w:rsidP="0016408A">
            <w:pPr>
              <w:numPr>
                <w:ilvl w:val="0"/>
                <w:numId w:val="5"/>
              </w:numPr>
              <w:spacing w:line="300" w:lineRule="atLeast"/>
              <w:rPr>
                <w:rFonts w:asciiTheme="minorHAnsi" w:hAnsiTheme="minorHAnsi" w:cstheme="minorHAnsi"/>
                <w:sz w:val="22"/>
                <w:szCs w:val="22"/>
              </w:rPr>
            </w:pPr>
          </w:p>
        </w:tc>
        <w:tc>
          <w:tcPr>
            <w:tcW w:w="4394" w:type="dxa"/>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Strokovna ocena (poz. D2)</w:t>
            </w:r>
          </w:p>
          <w:p w:rsidR="0016408A" w:rsidRPr="00431061" w:rsidRDefault="0016408A" w:rsidP="00A91B77">
            <w:pPr>
              <w:rPr>
                <w:rFonts w:asciiTheme="minorHAnsi" w:hAnsiTheme="minorHAnsi" w:cstheme="minorHAnsi"/>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jc w:val="center"/>
        </w:trPr>
        <w:tc>
          <w:tcPr>
            <w:tcW w:w="778" w:type="dxa"/>
          </w:tcPr>
          <w:p w:rsidR="0016408A" w:rsidRPr="00431061" w:rsidRDefault="0016408A" w:rsidP="0016408A">
            <w:pPr>
              <w:numPr>
                <w:ilvl w:val="0"/>
                <w:numId w:val="5"/>
              </w:numPr>
              <w:spacing w:line="300" w:lineRule="atLeast"/>
              <w:rPr>
                <w:rFonts w:asciiTheme="minorHAnsi" w:hAnsiTheme="minorHAnsi" w:cstheme="minorHAnsi"/>
                <w:sz w:val="22"/>
                <w:szCs w:val="22"/>
              </w:rPr>
            </w:pPr>
          </w:p>
        </w:tc>
        <w:tc>
          <w:tcPr>
            <w:tcW w:w="4394" w:type="dxa"/>
          </w:tcPr>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SKUPNA CENA ZA DOBAVO IN MONTAŽO OPREME (brez DDV)</w:t>
            </w:r>
          </w:p>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(poz. F1 – F4)</w:t>
            </w:r>
          </w:p>
          <w:p w:rsidR="0016408A" w:rsidRPr="00431061" w:rsidRDefault="0016408A" w:rsidP="00A91B77">
            <w:pPr>
              <w:rPr>
                <w:rFonts w:asciiTheme="minorHAnsi" w:hAnsiTheme="minorHAnsi" w:cstheme="minorHAnsi"/>
                <w:b/>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jc w:val="center"/>
        </w:trPr>
        <w:tc>
          <w:tcPr>
            <w:tcW w:w="778" w:type="dxa"/>
          </w:tcPr>
          <w:p w:rsidR="0016408A" w:rsidRPr="00431061" w:rsidRDefault="0016408A" w:rsidP="0016408A">
            <w:pPr>
              <w:numPr>
                <w:ilvl w:val="0"/>
                <w:numId w:val="5"/>
              </w:numPr>
              <w:spacing w:line="300" w:lineRule="atLeast"/>
              <w:rPr>
                <w:rFonts w:asciiTheme="minorHAnsi" w:hAnsiTheme="minorHAnsi" w:cstheme="minorHAnsi"/>
                <w:sz w:val="22"/>
                <w:szCs w:val="22"/>
              </w:rPr>
            </w:pPr>
          </w:p>
        </w:tc>
        <w:tc>
          <w:tcPr>
            <w:tcW w:w="4394" w:type="dxa"/>
            <w:vAlign w:val="center"/>
          </w:tcPr>
          <w:p w:rsidR="0016408A" w:rsidRPr="00431061" w:rsidRDefault="0016408A" w:rsidP="00A91B77">
            <w:pPr>
              <w:rPr>
                <w:rFonts w:asciiTheme="minorHAnsi" w:hAnsiTheme="minorHAnsi" w:cstheme="minorHAnsi"/>
                <w:sz w:val="22"/>
                <w:szCs w:val="22"/>
              </w:rPr>
            </w:pPr>
            <w:r w:rsidRPr="00431061">
              <w:rPr>
                <w:rFonts w:asciiTheme="minorHAnsi" w:hAnsiTheme="minorHAnsi" w:cstheme="minorHAnsi"/>
                <w:sz w:val="22"/>
                <w:szCs w:val="22"/>
              </w:rPr>
              <w:t>Vzdrževanje po preteku garancijske dobe za 5 letno obdobje (poz. E2)</w:t>
            </w:r>
          </w:p>
          <w:p w:rsidR="0016408A" w:rsidRPr="00431061" w:rsidRDefault="0016408A" w:rsidP="00A91B77">
            <w:pPr>
              <w:rPr>
                <w:rFonts w:asciiTheme="minorHAnsi" w:hAnsiTheme="minorHAnsi" w:cstheme="minorHAnsi"/>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p>
        </w:tc>
      </w:tr>
      <w:tr w:rsidR="0016408A" w:rsidRPr="00431061" w:rsidTr="00A91B77">
        <w:trPr>
          <w:cantSplit/>
          <w:jc w:val="center"/>
        </w:trPr>
        <w:tc>
          <w:tcPr>
            <w:tcW w:w="778" w:type="dxa"/>
          </w:tcPr>
          <w:p w:rsidR="0016408A" w:rsidRPr="00431061" w:rsidRDefault="0016408A" w:rsidP="0016408A">
            <w:pPr>
              <w:numPr>
                <w:ilvl w:val="0"/>
                <w:numId w:val="5"/>
              </w:numPr>
              <w:spacing w:line="300" w:lineRule="atLeast"/>
              <w:rPr>
                <w:rFonts w:asciiTheme="minorHAnsi" w:hAnsiTheme="minorHAnsi" w:cstheme="minorHAnsi"/>
                <w:sz w:val="22"/>
                <w:szCs w:val="22"/>
              </w:rPr>
            </w:pPr>
          </w:p>
        </w:tc>
        <w:tc>
          <w:tcPr>
            <w:tcW w:w="4394" w:type="dxa"/>
            <w:vAlign w:val="center"/>
          </w:tcPr>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SKUPNA CENA ZA DOBAVO IN MONTAŽO OPREME Z VKLJUČENIM 5 LETNIM VZDRŽEVANJEM (brez DDV)</w:t>
            </w:r>
          </w:p>
          <w:p w:rsidR="0016408A" w:rsidRPr="00431061" w:rsidRDefault="0016408A" w:rsidP="00A91B77">
            <w:pPr>
              <w:rPr>
                <w:rFonts w:asciiTheme="minorHAnsi" w:hAnsiTheme="minorHAnsi" w:cstheme="minorHAnsi"/>
                <w:b/>
                <w:sz w:val="22"/>
                <w:szCs w:val="22"/>
              </w:rPr>
            </w:pPr>
            <w:r w:rsidRPr="00431061">
              <w:rPr>
                <w:rFonts w:asciiTheme="minorHAnsi" w:hAnsiTheme="minorHAnsi" w:cstheme="minorHAnsi"/>
                <w:b/>
                <w:sz w:val="22"/>
                <w:szCs w:val="22"/>
              </w:rPr>
              <w:t>(poz. F5 – F6)</w:t>
            </w:r>
          </w:p>
          <w:p w:rsidR="0016408A" w:rsidRPr="00431061" w:rsidRDefault="0016408A" w:rsidP="00A91B77">
            <w:pPr>
              <w:rPr>
                <w:rFonts w:asciiTheme="minorHAnsi" w:hAnsiTheme="minorHAnsi" w:cstheme="minorHAnsi"/>
                <w:b/>
                <w:sz w:val="22"/>
                <w:szCs w:val="22"/>
              </w:rPr>
            </w:pPr>
          </w:p>
        </w:tc>
        <w:tc>
          <w:tcPr>
            <w:tcW w:w="3298" w:type="dxa"/>
          </w:tcPr>
          <w:p w:rsidR="0016408A" w:rsidRPr="00431061" w:rsidRDefault="0016408A" w:rsidP="00A91B77">
            <w:pPr>
              <w:jc w:val="center"/>
              <w:rPr>
                <w:rFonts w:asciiTheme="minorHAnsi" w:hAnsiTheme="minorHAnsi" w:cstheme="minorHAnsi"/>
                <w:sz w:val="22"/>
                <w:szCs w:val="22"/>
              </w:rPr>
            </w:pPr>
          </w:p>
        </w:tc>
      </w:tr>
    </w:tbl>
    <w:p w:rsidR="0016408A" w:rsidRPr="00431061" w:rsidRDefault="0016408A" w:rsidP="0016408A">
      <w:pPr>
        <w:rPr>
          <w:rFonts w:asciiTheme="minorHAnsi" w:hAnsiTheme="minorHAnsi" w:cstheme="minorHAnsi"/>
          <w:b/>
          <w:sz w:val="22"/>
          <w:szCs w:val="22"/>
        </w:rPr>
      </w:pPr>
    </w:p>
    <w:p w:rsidR="0016408A" w:rsidRDefault="0016408A" w:rsidP="0016408A"/>
    <w:p w:rsidR="0016408A" w:rsidRPr="00B87DB7" w:rsidRDefault="0016408A" w:rsidP="0016408A">
      <w:pPr>
        <w:rPr>
          <w:rFonts w:asciiTheme="minorHAnsi" w:hAnsiTheme="minorHAnsi"/>
          <w:b/>
          <w:color w:val="FF0000"/>
          <w:sz w:val="22"/>
          <w:szCs w:val="22"/>
        </w:rPr>
      </w:pPr>
    </w:p>
    <w:tbl>
      <w:tblPr>
        <w:tblW w:w="0" w:type="auto"/>
        <w:tblLayout w:type="fixed"/>
        <w:tblLook w:val="0000" w:firstRow="0" w:lastRow="0" w:firstColumn="0" w:lastColumn="0" w:noHBand="0" w:noVBand="0"/>
      </w:tblPr>
      <w:tblGrid>
        <w:gridCol w:w="4361"/>
        <w:gridCol w:w="4361"/>
      </w:tblGrid>
      <w:tr w:rsidR="0016408A" w:rsidRPr="00B87DB7" w:rsidTr="00A91B77">
        <w:trPr>
          <w:cantSplit/>
        </w:trPr>
        <w:tc>
          <w:tcPr>
            <w:tcW w:w="4361" w:type="dxa"/>
          </w:tcPr>
          <w:p w:rsidR="0016408A" w:rsidRPr="00B87DB7" w:rsidRDefault="0016408A" w:rsidP="00A91B77">
            <w:pPr>
              <w:rPr>
                <w:rFonts w:asciiTheme="minorHAnsi" w:hAnsiTheme="minorHAnsi" w:cs="Arial"/>
                <w:sz w:val="22"/>
                <w:szCs w:val="22"/>
              </w:rPr>
            </w:pPr>
            <w:r w:rsidRPr="00B87DB7">
              <w:rPr>
                <w:rFonts w:asciiTheme="minorHAnsi" w:hAnsiTheme="minorHAnsi" w:cs="Arial"/>
                <w:sz w:val="22"/>
                <w:szCs w:val="22"/>
              </w:rPr>
              <w:t>Kraj in datum:</w:t>
            </w:r>
          </w:p>
        </w:tc>
        <w:tc>
          <w:tcPr>
            <w:tcW w:w="4361" w:type="dxa"/>
          </w:tcPr>
          <w:p w:rsidR="0016408A" w:rsidRPr="00B87DB7" w:rsidRDefault="0016408A" w:rsidP="00A91B77">
            <w:pPr>
              <w:rPr>
                <w:rFonts w:asciiTheme="minorHAnsi" w:hAnsiTheme="minorHAnsi" w:cs="Arial"/>
                <w:sz w:val="22"/>
                <w:szCs w:val="22"/>
              </w:rPr>
            </w:pPr>
            <w:r w:rsidRPr="00B87DB7">
              <w:rPr>
                <w:rFonts w:asciiTheme="minorHAnsi" w:hAnsiTheme="minorHAnsi" w:cs="Arial"/>
                <w:sz w:val="22"/>
                <w:szCs w:val="22"/>
              </w:rPr>
              <w:t>Ponudnik:</w:t>
            </w:r>
          </w:p>
          <w:p w:rsidR="0016408A" w:rsidRPr="00B87DB7" w:rsidRDefault="0016408A" w:rsidP="00A91B77">
            <w:pPr>
              <w:rPr>
                <w:rFonts w:asciiTheme="minorHAnsi" w:hAnsiTheme="minorHAnsi" w:cs="Arial"/>
                <w:sz w:val="22"/>
                <w:szCs w:val="22"/>
              </w:rPr>
            </w:pPr>
          </w:p>
        </w:tc>
      </w:tr>
      <w:tr w:rsidR="0016408A" w:rsidRPr="00B87DB7" w:rsidTr="00A91B77">
        <w:trPr>
          <w:cantSplit/>
        </w:trPr>
        <w:tc>
          <w:tcPr>
            <w:tcW w:w="4361" w:type="dxa"/>
          </w:tcPr>
          <w:p w:rsidR="0016408A" w:rsidRPr="00B87DB7" w:rsidRDefault="0016408A" w:rsidP="00A91B77">
            <w:pPr>
              <w:rPr>
                <w:rFonts w:asciiTheme="minorHAnsi" w:hAnsiTheme="minorHAnsi" w:cs="Arial"/>
                <w:sz w:val="22"/>
                <w:szCs w:val="22"/>
              </w:rPr>
            </w:pPr>
          </w:p>
        </w:tc>
        <w:tc>
          <w:tcPr>
            <w:tcW w:w="4361" w:type="dxa"/>
          </w:tcPr>
          <w:p w:rsidR="0016408A" w:rsidRPr="00B87DB7" w:rsidRDefault="0016408A" w:rsidP="00A91B77">
            <w:pPr>
              <w:rPr>
                <w:rFonts w:asciiTheme="minorHAnsi" w:hAnsiTheme="minorHAnsi" w:cs="Arial"/>
                <w:sz w:val="22"/>
                <w:szCs w:val="22"/>
              </w:rPr>
            </w:pPr>
            <w:r w:rsidRPr="00B87DB7">
              <w:rPr>
                <w:rFonts w:asciiTheme="minorHAnsi" w:hAnsiTheme="minorHAnsi" w:cs="Arial"/>
                <w:sz w:val="22"/>
                <w:szCs w:val="22"/>
              </w:rPr>
              <w:t>Žig in podpis:</w:t>
            </w:r>
          </w:p>
        </w:tc>
      </w:tr>
    </w:tbl>
    <w:p w:rsidR="0016408A" w:rsidRDefault="0016408A" w:rsidP="0016408A">
      <w:pPr>
        <w:rPr>
          <w:sz w:val="22"/>
          <w:szCs w:val="22"/>
        </w:rPr>
      </w:pPr>
    </w:p>
    <w:p w:rsidR="0016408A" w:rsidRPr="0016408A" w:rsidRDefault="0016408A" w:rsidP="0016408A">
      <w:pPr>
        <w:rPr>
          <w:sz w:val="22"/>
          <w:szCs w:val="22"/>
        </w:rPr>
      </w:pPr>
      <w:bookmarkStart w:id="0" w:name="_GoBack"/>
      <w:bookmarkEnd w:id="0"/>
    </w:p>
    <w:sectPr w:rsidR="0016408A" w:rsidRPr="00164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08A" w:rsidRDefault="0016408A" w:rsidP="0016408A">
      <w:r>
        <w:separator/>
      </w:r>
    </w:p>
  </w:endnote>
  <w:endnote w:type="continuationSeparator" w:id="0">
    <w:p w:rsidR="0016408A" w:rsidRDefault="0016408A" w:rsidP="0016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8A" w:rsidRDefault="0016408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6408A" w:rsidRDefault="0016408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8A" w:rsidRPr="00BD2A49" w:rsidRDefault="0016408A"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5</w:t>
    </w:r>
    <w:r w:rsidRPr="00BD2A49">
      <w:rPr>
        <w:rFonts w:asciiTheme="minorHAnsi" w:hAnsiTheme="minorHAnsi"/>
        <w:sz w:val="18"/>
        <w:szCs w:val="12"/>
      </w:rPr>
      <w:fldChar w:fldCharType="end"/>
    </w:r>
  </w:p>
  <w:p w:rsidR="0016408A" w:rsidRPr="00BD2A49" w:rsidRDefault="0016408A"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16408A" w:rsidRPr="00BD2A49" w:rsidRDefault="0016408A" w:rsidP="00B30F78">
    <w:pPr>
      <w:pStyle w:val="Noga"/>
      <w:rPr>
        <w:rFonts w:asciiTheme="minorHAnsi" w:hAnsiTheme="minorHAnsi" w:cs="Arial"/>
        <w:i/>
        <w:color w:val="000000" w:themeColor="text1"/>
        <w:sz w:val="18"/>
        <w:szCs w:val="18"/>
      </w:rPr>
    </w:pPr>
    <w:r w:rsidRPr="000A32D4">
      <w:rPr>
        <w:rFonts w:asciiTheme="minorHAnsi" w:hAnsiTheme="minorHAnsi" w:cs="Arial"/>
        <w:i/>
        <w:color w:val="000000" w:themeColor="text1"/>
        <w:sz w:val="18"/>
        <w:szCs w:val="18"/>
        <w:lang w:val="sl-SI"/>
      </w:rPr>
      <w:t>Dobava in montaža</w:t>
    </w:r>
    <w:r>
      <w:rPr>
        <w:rFonts w:asciiTheme="minorHAnsi" w:hAnsiTheme="minorHAnsi" w:cs="Arial"/>
        <w:i/>
        <w:color w:val="000000" w:themeColor="text1"/>
        <w:sz w:val="18"/>
        <w:szCs w:val="18"/>
        <w:lang w:val="sl-SI"/>
      </w:rPr>
      <w:t xml:space="preserve"> primarne in </w:t>
    </w:r>
    <w:r w:rsidRPr="000A32D4">
      <w:rPr>
        <w:rFonts w:asciiTheme="minorHAnsi" w:hAnsiTheme="minorHAnsi" w:cs="Arial"/>
        <w:i/>
        <w:color w:val="000000" w:themeColor="text1"/>
        <w:sz w:val="18"/>
        <w:szCs w:val="18"/>
        <w:lang w:val="sl-SI"/>
      </w:rPr>
      <w:t xml:space="preserve">sekundarne opreme za RP 20 kV </w:t>
    </w:r>
    <w:r>
      <w:rPr>
        <w:rFonts w:asciiTheme="minorHAnsi" w:hAnsiTheme="minorHAnsi" w:cs="Arial"/>
        <w:i/>
        <w:color w:val="000000" w:themeColor="text1"/>
        <w:sz w:val="18"/>
        <w:szCs w:val="18"/>
        <w:lang w:val="sl-SI"/>
      </w:rPr>
      <w:t>Naklo,</w:t>
    </w:r>
    <w:r w:rsidRPr="000A32D4">
      <w:rPr>
        <w:rFonts w:asciiTheme="minorHAnsi" w:hAnsiTheme="minorHAnsi" w:cs="Arial"/>
        <w:i/>
        <w:color w:val="000000" w:themeColor="text1"/>
        <w:sz w:val="18"/>
        <w:szCs w:val="18"/>
        <w:lang w:val="sl-SI"/>
      </w:rPr>
      <w:t xml:space="preserve"> š</w:t>
    </w:r>
    <w:r w:rsidRPr="001C6D06">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20</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01</w:t>
    </w:r>
  </w:p>
  <w:p w:rsidR="0016408A" w:rsidRDefault="0016408A" w:rsidP="00BD2A49">
    <w:pPr>
      <w:pStyle w:val="Noga"/>
    </w:pPr>
  </w:p>
  <w:p w:rsidR="0016408A" w:rsidRPr="00BD2A49" w:rsidRDefault="0016408A"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8A" w:rsidRPr="00BD2A49" w:rsidRDefault="0016408A" w:rsidP="0016408A">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sidRPr="00BD2A49">
      <w:rPr>
        <w:rFonts w:asciiTheme="minorHAnsi" w:hAnsiTheme="minorHAnsi"/>
        <w:sz w:val="18"/>
        <w:szCs w:val="12"/>
      </w:rPr>
      <w:fldChar w:fldCharType="end"/>
    </w:r>
  </w:p>
  <w:p w:rsidR="0016408A" w:rsidRPr="00BD2A49" w:rsidRDefault="0016408A" w:rsidP="0016408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16408A" w:rsidRPr="00BD2A49" w:rsidRDefault="0016408A" w:rsidP="0016408A">
    <w:pPr>
      <w:pStyle w:val="Noga"/>
      <w:rPr>
        <w:rFonts w:asciiTheme="minorHAnsi" w:hAnsiTheme="minorHAnsi" w:cs="Arial"/>
        <w:i/>
        <w:color w:val="000000" w:themeColor="text1"/>
        <w:sz w:val="18"/>
        <w:szCs w:val="18"/>
      </w:rPr>
    </w:pPr>
    <w:r w:rsidRPr="000A32D4">
      <w:rPr>
        <w:rFonts w:asciiTheme="minorHAnsi" w:hAnsiTheme="minorHAnsi" w:cs="Arial"/>
        <w:i/>
        <w:color w:val="000000" w:themeColor="text1"/>
        <w:sz w:val="18"/>
        <w:szCs w:val="18"/>
        <w:lang w:val="sl-SI"/>
      </w:rPr>
      <w:t>Dobava in montaža</w:t>
    </w:r>
    <w:r>
      <w:rPr>
        <w:rFonts w:asciiTheme="minorHAnsi" w:hAnsiTheme="minorHAnsi" w:cs="Arial"/>
        <w:i/>
        <w:color w:val="000000" w:themeColor="text1"/>
        <w:sz w:val="18"/>
        <w:szCs w:val="18"/>
        <w:lang w:val="sl-SI"/>
      </w:rPr>
      <w:t xml:space="preserve"> primarne in </w:t>
    </w:r>
    <w:r w:rsidRPr="000A32D4">
      <w:rPr>
        <w:rFonts w:asciiTheme="minorHAnsi" w:hAnsiTheme="minorHAnsi" w:cs="Arial"/>
        <w:i/>
        <w:color w:val="000000" w:themeColor="text1"/>
        <w:sz w:val="18"/>
        <w:szCs w:val="18"/>
        <w:lang w:val="sl-SI"/>
      </w:rPr>
      <w:t xml:space="preserve">sekundarne opreme za RP 20 kV </w:t>
    </w:r>
    <w:r>
      <w:rPr>
        <w:rFonts w:asciiTheme="minorHAnsi" w:hAnsiTheme="minorHAnsi" w:cs="Arial"/>
        <w:i/>
        <w:color w:val="000000" w:themeColor="text1"/>
        <w:sz w:val="18"/>
        <w:szCs w:val="18"/>
        <w:lang w:val="sl-SI"/>
      </w:rPr>
      <w:t>Naklo,</w:t>
    </w:r>
    <w:r w:rsidRPr="000A32D4">
      <w:rPr>
        <w:rFonts w:asciiTheme="minorHAnsi" w:hAnsiTheme="minorHAnsi" w:cs="Arial"/>
        <w:i/>
        <w:color w:val="000000" w:themeColor="text1"/>
        <w:sz w:val="18"/>
        <w:szCs w:val="18"/>
        <w:lang w:val="sl-SI"/>
      </w:rPr>
      <w:t xml:space="preserve"> š</w:t>
    </w:r>
    <w:r w:rsidRPr="001C6D06">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20</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01</w:t>
    </w:r>
  </w:p>
  <w:p w:rsidR="0016408A" w:rsidRDefault="0016408A" w:rsidP="00BF4BD8">
    <w:pPr>
      <w:pStyle w:val="Noga"/>
      <w:tabs>
        <w:tab w:val="clear" w:pos="4536"/>
        <w:tab w:val="clear" w:pos="9072"/>
        <w:tab w:val="left" w:pos="39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08A" w:rsidRDefault="0016408A" w:rsidP="0016408A">
      <w:r>
        <w:separator/>
      </w:r>
    </w:p>
  </w:footnote>
  <w:footnote w:type="continuationSeparator" w:id="0">
    <w:p w:rsidR="0016408A" w:rsidRDefault="0016408A" w:rsidP="0016408A">
      <w:r>
        <w:continuationSeparator/>
      </w:r>
    </w:p>
  </w:footnote>
  <w:footnote w:id="1">
    <w:p w:rsidR="0016408A" w:rsidRPr="002A024D" w:rsidRDefault="0016408A" w:rsidP="0016408A">
      <w:pPr>
        <w:pStyle w:val="Sprotnaopomba-besedilo"/>
        <w:jc w:val="both"/>
        <w:rPr>
          <w:lang w:val="sl-SI"/>
        </w:rPr>
      </w:pPr>
      <w:r w:rsidRPr="00282C0A">
        <w:rPr>
          <w:rStyle w:val="Sprotnaopomba-sklic"/>
        </w:rPr>
        <w:footnoteRef/>
      </w:r>
      <w:r w:rsidRPr="00282C0A">
        <w:t xml:space="preserve"> </w:t>
      </w:r>
      <w:r w:rsidRPr="00282C0A">
        <w:rPr>
          <w:rFonts w:asciiTheme="minorHAnsi" w:hAnsiTheme="minorHAnsi" w:cs="Arial"/>
          <w:lang w:val="sl-SI"/>
        </w:rPr>
        <w:t>P</w:t>
      </w:r>
      <w:proofErr w:type="spellStart"/>
      <w:r w:rsidRPr="00282C0A">
        <w:rPr>
          <w:rFonts w:asciiTheme="minorHAnsi" w:hAnsiTheme="minorHAnsi" w:cs="Arial"/>
        </w:rPr>
        <w:t>onudnik</w:t>
      </w:r>
      <w:proofErr w:type="spellEnd"/>
      <w:r w:rsidRPr="00282C0A">
        <w:rPr>
          <w:rFonts w:asciiTheme="minorHAnsi" w:hAnsiTheme="minorHAnsi" w:cs="Arial"/>
        </w:rPr>
        <w:t xml:space="preserve"> </w:t>
      </w:r>
      <w:r w:rsidRPr="00282C0A">
        <w:rPr>
          <w:rFonts w:asciiTheme="minorHAnsi" w:hAnsiTheme="minorHAnsi" w:cs="Arial"/>
          <w:lang w:val="sl-SI"/>
        </w:rPr>
        <w:t xml:space="preserve">mora obrazec </w:t>
      </w:r>
      <w:r w:rsidRPr="00282C0A">
        <w:rPr>
          <w:rFonts w:asciiTheme="minorHAnsi" w:hAnsiTheme="minorHAnsi" w:cs="Arial"/>
        </w:rPr>
        <w:t xml:space="preserve">podpisati in žigosati (če uporablja žig) in ga </w:t>
      </w:r>
      <w:r w:rsidRPr="00282C0A">
        <w:rPr>
          <w:rFonts w:asciiTheme="minorHAnsi" w:hAnsiTheme="minorHAnsi" w:cs="Arial"/>
          <w:lang w:val="sl-SI"/>
        </w:rPr>
        <w:t>v informacijskem sistemu e-JN naloži</w:t>
      </w:r>
      <w:r w:rsidRPr="00282C0A">
        <w:rPr>
          <w:rFonts w:asciiTheme="minorHAnsi" w:hAnsiTheme="minorHAnsi" w:cs="Arial"/>
        </w:rPr>
        <w:t>ti</w:t>
      </w:r>
      <w:r w:rsidRPr="00282C0A">
        <w:rPr>
          <w:rFonts w:asciiTheme="minorHAnsi" w:hAnsiTheme="minorHAnsi" w:cs="Arial"/>
          <w:lang w:val="sl-SI"/>
        </w:rPr>
        <w:t xml:space="preserve"> </w:t>
      </w:r>
      <w:r w:rsidRPr="00282C0A">
        <w:rPr>
          <w:rFonts w:asciiTheme="minorHAnsi" w:hAnsiTheme="minorHAnsi" w:cstheme="minorHAnsi"/>
          <w:lang w:val="sl-SI"/>
        </w:rPr>
        <w:t>v razdelek »Predračun«.</w:t>
      </w:r>
    </w:p>
  </w:footnote>
  <w:footnote w:id="2">
    <w:p w:rsidR="0016408A" w:rsidRPr="00145DFD" w:rsidRDefault="0016408A" w:rsidP="0016408A">
      <w:pPr>
        <w:jc w:val="both"/>
        <w:rPr>
          <w:rFonts w:asciiTheme="minorHAnsi" w:hAnsiTheme="minorHAnsi" w:cs="Arial"/>
          <w:b/>
          <w:sz w:val="20"/>
          <w:szCs w:val="20"/>
        </w:rPr>
      </w:pPr>
      <w:r>
        <w:rPr>
          <w:rStyle w:val="Sprotnaopomba-sklic"/>
        </w:rPr>
        <w:footnoteRef/>
      </w:r>
      <w:r>
        <w:t xml:space="preserve"> </w:t>
      </w:r>
      <w:r w:rsidRPr="00282C0A">
        <w:rPr>
          <w:rFonts w:asciiTheme="minorHAnsi" w:hAnsiTheme="minorHAnsi" w:cs="Arial"/>
          <w:sz w:val="20"/>
          <w:szCs w:val="20"/>
        </w:rPr>
        <w:t>Ponudnik mora obrazec podpisati in žigosati (če uporablja žig) in ga v informacijskem sistemu e-JN naložiti v razdelek »Druge priloge«.</w:t>
      </w:r>
    </w:p>
    <w:p w:rsidR="0016408A" w:rsidRPr="002A024D" w:rsidRDefault="0016408A" w:rsidP="0016408A">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8A" w:rsidRPr="0003729D" w:rsidRDefault="0016408A">
    <w:pPr>
      <w:pStyle w:val="Glava"/>
      <w:rPr>
        <w:rFonts w:ascii="Arial" w:hAnsi="Arial" w:cs="Arial"/>
        <w:b/>
      </w:rPr>
    </w:pPr>
    <w:r>
      <w:rPr>
        <w:noProof/>
        <w:sz w:val="16"/>
      </w:rPr>
      <w:tab/>
    </w:r>
    <w:r>
      <w:rPr>
        <w:noProof/>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4903"/>
    <w:multiLevelType w:val="hybridMultilevel"/>
    <w:tmpl w:val="A8CE50AC"/>
    <w:lvl w:ilvl="0" w:tplc="08588C3E">
      <w:start w:val="1"/>
      <w:numFmt w:val="decimal"/>
      <w:lvlText w:val="C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9113459"/>
    <w:multiLevelType w:val="hybridMultilevel"/>
    <w:tmpl w:val="6F34781A"/>
    <w:lvl w:ilvl="0" w:tplc="DAEE8D2A">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075A7"/>
    <w:multiLevelType w:val="hybridMultilevel"/>
    <w:tmpl w:val="9B84BA18"/>
    <w:lvl w:ilvl="0" w:tplc="5E3A4DB2">
      <w:start w:val="1"/>
      <w:numFmt w:val="decimal"/>
      <w:lvlText w:val="F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0FA738C"/>
    <w:multiLevelType w:val="hybridMultilevel"/>
    <w:tmpl w:val="4262178E"/>
    <w:lvl w:ilvl="0" w:tplc="9BAC824C">
      <w:start w:val="1"/>
      <w:numFmt w:val="decimal"/>
      <w:lvlText w:val="D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A495E4D"/>
    <w:multiLevelType w:val="hybridMultilevel"/>
    <w:tmpl w:val="FBBAC7E8"/>
    <w:lvl w:ilvl="0" w:tplc="67467B3C">
      <w:start w:val="1"/>
      <w:numFmt w:val="decimal"/>
      <w:lvlText w:val="B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B9E579F"/>
    <w:multiLevelType w:val="hybridMultilevel"/>
    <w:tmpl w:val="3D16E48C"/>
    <w:lvl w:ilvl="0" w:tplc="966E65FE">
      <w:start w:val="1"/>
      <w:numFmt w:val="decimal"/>
      <w:lvlText w:val="A %1."/>
      <w:lvlJc w:val="left"/>
      <w:pPr>
        <w:tabs>
          <w:tab w:val="num" w:pos="786"/>
        </w:tabs>
        <w:ind w:left="567" w:hanging="141"/>
      </w:pPr>
      <w:rPr>
        <w:rFonts w:hint="default"/>
        <w:sz w:val="22"/>
        <w:szCs w:val="22"/>
      </w:rPr>
    </w:lvl>
    <w:lvl w:ilvl="1" w:tplc="04240019" w:tentative="1">
      <w:start w:val="1"/>
      <w:numFmt w:val="lowerLetter"/>
      <w:lvlText w:val="%2."/>
      <w:lvlJc w:val="left"/>
      <w:pPr>
        <w:tabs>
          <w:tab w:val="num" w:pos="1298"/>
        </w:tabs>
        <w:ind w:left="1298" w:hanging="360"/>
      </w:pPr>
    </w:lvl>
    <w:lvl w:ilvl="2" w:tplc="0424001B" w:tentative="1">
      <w:start w:val="1"/>
      <w:numFmt w:val="lowerRoman"/>
      <w:lvlText w:val="%3."/>
      <w:lvlJc w:val="right"/>
      <w:pPr>
        <w:tabs>
          <w:tab w:val="num" w:pos="2018"/>
        </w:tabs>
        <w:ind w:left="2018" w:hanging="180"/>
      </w:pPr>
    </w:lvl>
    <w:lvl w:ilvl="3" w:tplc="0424000F" w:tentative="1">
      <w:start w:val="1"/>
      <w:numFmt w:val="decimal"/>
      <w:lvlText w:val="%4."/>
      <w:lvlJc w:val="left"/>
      <w:pPr>
        <w:tabs>
          <w:tab w:val="num" w:pos="2738"/>
        </w:tabs>
        <w:ind w:left="2738" w:hanging="360"/>
      </w:pPr>
    </w:lvl>
    <w:lvl w:ilvl="4" w:tplc="04240019" w:tentative="1">
      <w:start w:val="1"/>
      <w:numFmt w:val="lowerLetter"/>
      <w:lvlText w:val="%5."/>
      <w:lvlJc w:val="left"/>
      <w:pPr>
        <w:tabs>
          <w:tab w:val="num" w:pos="3458"/>
        </w:tabs>
        <w:ind w:left="3458" w:hanging="360"/>
      </w:pPr>
    </w:lvl>
    <w:lvl w:ilvl="5" w:tplc="0424001B" w:tentative="1">
      <w:start w:val="1"/>
      <w:numFmt w:val="lowerRoman"/>
      <w:lvlText w:val="%6."/>
      <w:lvlJc w:val="right"/>
      <w:pPr>
        <w:tabs>
          <w:tab w:val="num" w:pos="4178"/>
        </w:tabs>
        <w:ind w:left="4178" w:hanging="180"/>
      </w:pPr>
    </w:lvl>
    <w:lvl w:ilvl="6" w:tplc="0424000F" w:tentative="1">
      <w:start w:val="1"/>
      <w:numFmt w:val="decimal"/>
      <w:lvlText w:val="%7."/>
      <w:lvlJc w:val="left"/>
      <w:pPr>
        <w:tabs>
          <w:tab w:val="num" w:pos="4898"/>
        </w:tabs>
        <w:ind w:left="4898" w:hanging="360"/>
      </w:pPr>
    </w:lvl>
    <w:lvl w:ilvl="7" w:tplc="04240019" w:tentative="1">
      <w:start w:val="1"/>
      <w:numFmt w:val="lowerLetter"/>
      <w:lvlText w:val="%8."/>
      <w:lvlJc w:val="left"/>
      <w:pPr>
        <w:tabs>
          <w:tab w:val="num" w:pos="5618"/>
        </w:tabs>
        <w:ind w:left="5618" w:hanging="360"/>
      </w:pPr>
    </w:lvl>
    <w:lvl w:ilvl="8" w:tplc="0424001B" w:tentative="1">
      <w:start w:val="1"/>
      <w:numFmt w:val="lowerRoman"/>
      <w:lvlText w:val="%9."/>
      <w:lvlJc w:val="right"/>
      <w:pPr>
        <w:tabs>
          <w:tab w:val="num" w:pos="6338"/>
        </w:tabs>
        <w:ind w:left="6338"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8A"/>
    <w:rsid w:val="0016408A"/>
    <w:rsid w:val="001F52D0"/>
    <w:rsid w:val="005B4D11"/>
    <w:rsid w:val="005F2D14"/>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830810-2DA6-4BFA-9CAA-29EE90D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6408A"/>
    <w:pPr>
      <w:spacing w:after="0" w:line="240" w:lineRule="auto"/>
    </w:pPr>
    <w:rPr>
      <w:rFonts w:ascii="Arial" w:eastAsia="Times New Roman" w:hAnsi="Arial"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6408A"/>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16408A"/>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16408A"/>
    <w:pPr>
      <w:tabs>
        <w:tab w:val="center" w:pos="4536"/>
        <w:tab w:val="right" w:pos="9072"/>
      </w:tabs>
    </w:pPr>
    <w:rPr>
      <w:lang w:val="x-none"/>
    </w:rPr>
  </w:style>
  <w:style w:type="character" w:customStyle="1" w:styleId="NogaZnak">
    <w:name w:val="Noga Znak"/>
    <w:basedOn w:val="Privzetapisavaodstavka"/>
    <w:link w:val="Noga"/>
    <w:rsid w:val="0016408A"/>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16408A"/>
    <w:pPr>
      <w:jc w:val="both"/>
    </w:pPr>
    <w:rPr>
      <w:sz w:val="20"/>
      <w:szCs w:val="20"/>
      <w:lang w:val="x-none"/>
    </w:rPr>
  </w:style>
  <w:style w:type="character" w:customStyle="1" w:styleId="TelobesedilaZnak">
    <w:name w:val="Telo besedila Znak"/>
    <w:basedOn w:val="Privzetapisavaodstavka"/>
    <w:link w:val="Telobesedila"/>
    <w:rsid w:val="0016408A"/>
    <w:rPr>
      <w:rFonts w:ascii="Arial" w:eastAsia="Times New Roman" w:hAnsi="Arial" w:cs="Times New Roman"/>
      <w:color w:val="auto"/>
      <w:sz w:val="20"/>
      <w:szCs w:val="20"/>
      <w:lang w:val="x-none" w:eastAsia="sl-SI"/>
    </w:rPr>
  </w:style>
  <w:style w:type="paragraph" w:styleId="Sprotnaopomba-besedilo">
    <w:name w:val="footnote text"/>
    <w:basedOn w:val="Navaden"/>
    <w:link w:val="Sprotnaopomba-besediloZnak"/>
    <w:rsid w:val="0016408A"/>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16408A"/>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16408A"/>
  </w:style>
  <w:style w:type="character" w:styleId="Sprotnaopomba-sklic">
    <w:name w:val="footnote reference"/>
    <w:rsid w:val="0016408A"/>
    <w:rPr>
      <w:vertAlign w:val="superscript"/>
    </w:rPr>
  </w:style>
  <w:style w:type="table" w:styleId="Tabelamrea">
    <w:name w:val="Table Grid"/>
    <w:basedOn w:val="Navadnatabela"/>
    <w:rsid w:val="0016408A"/>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Glava">
    <w:name w:val="EG Glava"/>
    <w:basedOn w:val="Navaden"/>
    <w:link w:val="EGGlavaZnak"/>
    <w:qFormat/>
    <w:rsid w:val="0016408A"/>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16408A"/>
    <w:rPr>
      <w:rFonts w:eastAsia="Times New Roman" w:cs="Arial"/>
      <w:bCs/>
      <w:iCs/>
      <w:noProof/>
      <w:color w:val="80808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1549</Words>
  <Characters>8834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2020-03-03T06:27:00Z</dcterms:created>
  <dcterms:modified xsi:type="dcterms:W3CDTF">2020-03-03T06:30:00Z</dcterms:modified>
</cp:coreProperties>
</file>