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13BE" w14:textId="77777777" w:rsidR="00BA0613" w:rsidRPr="00F515B7" w:rsidRDefault="00BA0613" w:rsidP="00BA0613">
      <w:pPr>
        <w:pStyle w:val="Naslov1"/>
        <w:numPr>
          <w:ilvl w:val="0"/>
          <w:numId w:val="1"/>
        </w:numPr>
        <w:jc w:val="both"/>
        <w:rPr>
          <w:rFonts w:asciiTheme="minorHAnsi" w:hAnsiTheme="minorHAnsi" w:cstheme="minorHAnsi"/>
          <w:bCs w:val="0"/>
          <w:sz w:val="24"/>
          <w:szCs w:val="24"/>
          <w:lang w:val="sl-SI"/>
        </w:rPr>
      </w:pPr>
      <w:bookmarkStart w:id="0" w:name="_Toc99715496"/>
      <w:r w:rsidRPr="00F515B7">
        <w:rPr>
          <w:rFonts w:asciiTheme="minorHAnsi" w:hAnsiTheme="minorHAnsi" w:cstheme="minorHAnsi"/>
          <w:bCs w:val="0"/>
          <w:sz w:val="24"/>
          <w:szCs w:val="24"/>
          <w:lang w:val="sl-SI"/>
        </w:rPr>
        <w:t>TEHNIČNA SPECIFIKACIJA</w:t>
      </w:r>
      <w:bookmarkStart w:id="1" w:name="_Toc51850635"/>
      <w:bookmarkEnd w:id="0"/>
      <w:bookmarkEnd w:id="1"/>
    </w:p>
    <w:p w14:paraId="6CAE42ED" w14:textId="77777777" w:rsidR="00BA0613" w:rsidRPr="00B93E93" w:rsidRDefault="00BA0613" w:rsidP="00BA06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A754E" w14:textId="77777777" w:rsidR="00BA0613" w:rsidRPr="00B93E93" w:rsidRDefault="00BA0613" w:rsidP="00BA0613">
      <w:pPr>
        <w:pStyle w:val="Brezrazmikov"/>
        <w:jc w:val="both"/>
        <w:rPr>
          <w:rFonts w:asciiTheme="minorHAnsi" w:hAnsiTheme="minorHAnsi" w:cstheme="minorBidi"/>
        </w:rPr>
      </w:pPr>
      <w:bookmarkStart w:id="2" w:name="_Toc51850636"/>
      <w:bookmarkStart w:id="3" w:name="_Toc51850756"/>
      <w:bookmarkEnd w:id="2"/>
      <w:bookmarkEnd w:id="3"/>
      <w:r w:rsidRPr="005300FA">
        <w:rPr>
          <w:rFonts w:asciiTheme="minorHAnsi" w:hAnsiTheme="minorHAnsi" w:cstheme="minorBidi"/>
        </w:rPr>
        <w:t xml:space="preserve">Navedena tehnična dokumentacija je </w:t>
      </w:r>
      <w:r>
        <w:rPr>
          <w:rFonts w:asciiTheme="minorHAnsi" w:hAnsiTheme="minorHAnsi" w:cstheme="minorBidi"/>
        </w:rPr>
        <w:t xml:space="preserve">priloga in </w:t>
      </w:r>
      <w:r w:rsidRPr="005300FA">
        <w:rPr>
          <w:rFonts w:asciiTheme="minorHAnsi" w:hAnsiTheme="minorHAnsi" w:cstheme="minorBidi"/>
        </w:rPr>
        <w:t xml:space="preserve">sestavni del dokumentacije v zvezi z oddajo javnega naročila, št. </w:t>
      </w:r>
      <w:r>
        <w:rPr>
          <w:rFonts w:asciiTheme="minorHAnsi" w:hAnsiTheme="minorHAnsi" w:cstheme="minorBidi"/>
        </w:rPr>
        <w:t>JN22-002</w:t>
      </w:r>
      <w:r w:rsidRPr="00B93E93">
        <w:rPr>
          <w:rFonts w:asciiTheme="minorHAnsi" w:hAnsiTheme="minorHAnsi" w:cstheme="minorBidi"/>
        </w:rPr>
        <w:t>, in sicer:</w:t>
      </w:r>
    </w:p>
    <w:p w14:paraId="6783313D" w14:textId="77777777" w:rsidR="00BA0613" w:rsidRPr="00B93E93" w:rsidRDefault="00BA0613" w:rsidP="00BA0613">
      <w:pPr>
        <w:pStyle w:val="Brezrazmikov"/>
        <w:numPr>
          <w:ilvl w:val="0"/>
          <w:numId w:val="2"/>
        </w:numPr>
        <w:jc w:val="both"/>
        <w:rPr>
          <w:rFonts w:asciiTheme="minorHAnsi" w:hAnsiTheme="minorHAnsi" w:cstheme="minorBidi"/>
          <w:b/>
          <w:bCs/>
        </w:rPr>
      </w:pPr>
      <w:r w:rsidRPr="00B93E93">
        <w:t xml:space="preserve">projektna dokumentacija za izvedbo </w:t>
      </w:r>
      <w:r>
        <w:t xml:space="preserve">demontaže stikališča in daljnovoda </w:t>
      </w:r>
      <w:r w:rsidRPr="00B93E93">
        <w:t>(PZI), št. projekta</w:t>
      </w:r>
      <w:r w:rsidRPr="006A6500">
        <w:t xml:space="preserve"> 7656/18</w:t>
      </w:r>
      <w:r w:rsidRPr="00B93E93">
        <w:rPr>
          <w:rFonts w:cs="Calibri"/>
        </w:rPr>
        <w:t xml:space="preserve">, št. načrta </w:t>
      </w:r>
      <w:r w:rsidRPr="00920F5D">
        <w:rPr>
          <w:rFonts w:cs="Calibri"/>
        </w:rPr>
        <w:t>7656-7P1</w:t>
      </w:r>
      <w:r w:rsidRPr="00B93E93">
        <w:rPr>
          <w:rFonts w:cs="Calibri"/>
        </w:rPr>
        <w:t xml:space="preserve">, </w:t>
      </w:r>
      <w:r>
        <w:rPr>
          <w:rFonts w:cs="Calibri"/>
        </w:rPr>
        <w:t>november 2021.</w:t>
      </w:r>
      <w:r w:rsidRPr="00B93E93">
        <w:t xml:space="preserve"> </w:t>
      </w:r>
    </w:p>
    <w:p w14:paraId="2F04CD66" w14:textId="77777777" w:rsidR="00BA0613" w:rsidRDefault="00BA0613" w:rsidP="00BA0613">
      <w:pPr>
        <w:pStyle w:val="Brezrazmikov"/>
        <w:jc w:val="both"/>
        <w:rPr>
          <w:rFonts w:asciiTheme="minorHAnsi" w:hAnsiTheme="minorHAnsi" w:cstheme="minorBidi"/>
          <w:b/>
          <w:bCs/>
          <w:sz w:val="21"/>
          <w:szCs w:val="21"/>
        </w:rPr>
      </w:pPr>
    </w:p>
    <w:p w14:paraId="66488C88" w14:textId="77777777" w:rsidR="00BA0613" w:rsidRDefault="00BA0613" w:rsidP="00BA0613">
      <w:pPr>
        <w:pStyle w:val="Brezrazmikov"/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08442C61" w14:textId="77777777" w:rsidR="00BA0613" w:rsidRDefault="00BA0613" w:rsidP="00BA0613">
      <w:pPr>
        <w:pStyle w:val="Brezrazmikov"/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3A673917" w14:textId="77777777" w:rsidR="00BA0613" w:rsidRDefault="00BA0613" w:rsidP="00BA0613">
      <w:pPr>
        <w:pStyle w:val="Brezrazmikov"/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2505F582" w14:textId="77777777" w:rsidR="00BA0613" w:rsidRDefault="00BA0613" w:rsidP="00BA0613">
      <w:pPr>
        <w:pStyle w:val="Brezrazmikov"/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70A84102" w14:textId="77777777" w:rsidR="00BA0613" w:rsidRDefault="00BA0613" w:rsidP="00BA0613">
      <w:pPr>
        <w:pStyle w:val="Brezrazmikov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000E39F7">
        <w:rPr>
          <w:rFonts w:asciiTheme="minorHAnsi" w:hAnsiTheme="minorHAnsi" w:cstheme="minorBidi"/>
          <w:b/>
          <w:bCs/>
          <w:sz w:val="24"/>
          <w:szCs w:val="24"/>
        </w:rPr>
        <w:t>IZJAVA PONUDNIKA</w:t>
      </w:r>
    </w:p>
    <w:p w14:paraId="01D2E031" w14:textId="77777777" w:rsidR="00BA0613" w:rsidRPr="000E39F7" w:rsidRDefault="00BA0613" w:rsidP="00BA0613">
      <w:pPr>
        <w:pStyle w:val="Brezrazmikov"/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11EF7206" w14:textId="77777777" w:rsidR="00BA0613" w:rsidRPr="00820CFE" w:rsidRDefault="00BA0613" w:rsidP="00BA0613">
      <w:pPr>
        <w:pStyle w:val="Brezrazmikov"/>
        <w:jc w:val="both"/>
        <w:rPr>
          <w:rFonts w:asciiTheme="minorHAnsi" w:hAnsiTheme="minorHAnsi" w:cstheme="minorHAnsi"/>
        </w:rPr>
      </w:pPr>
      <w:r w:rsidRPr="00820CFE">
        <w:rPr>
          <w:rFonts w:asciiTheme="minorHAnsi" w:hAnsiTheme="minorHAnsi" w:cstheme="minorHAnsi"/>
        </w:rPr>
        <w:t xml:space="preserve">Ponudnik izjavljam, da sem seznanjen z vso dokumentacijo JN in tehnično dokumentacijo (tehnične specifikacije in PZI-ji), na podlagi katere bomo pripravili ponudbo in, če bomo izbrani, strokovno in pravočasno izvedli vsa zahtevana dela. </w:t>
      </w:r>
    </w:p>
    <w:p w14:paraId="29F608D4" w14:textId="77777777" w:rsidR="00BA0613" w:rsidRPr="00820CFE" w:rsidRDefault="00BA0613" w:rsidP="00BA0613">
      <w:pPr>
        <w:rPr>
          <w:rFonts w:asciiTheme="minorHAnsi" w:hAnsiTheme="minorHAnsi" w:cs="Arial"/>
          <w:sz w:val="22"/>
          <w:szCs w:val="22"/>
        </w:rPr>
      </w:pPr>
    </w:p>
    <w:p w14:paraId="5EBD83C8" w14:textId="77777777" w:rsidR="00BA0613" w:rsidRPr="00820CFE" w:rsidRDefault="00BA0613" w:rsidP="00BA0613">
      <w:pPr>
        <w:pStyle w:val="Brezrazmikov"/>
        <w:jc w:val="both"/>
      </w:pPr>
    </w:p>
    <w:p w14:paraId="27757689" w14:textId="77777777" w:rsidR="00BA0613" w:rsidRPr="00820CFE" w:rsidRDefault="00BA0613" w:rsidP="00BA0613">
      <w:pPr>
        <w:pStyle w:val="Brezrazmikov"/>
        <w:jc w:val="both"/>
      </w:pPr>
    </w:p>
    <w:p w14:paraId="6051284E" w14:textId="77777777" w:rsidR="00BA0613" w:rsidRPr="00820CFE" w:rsidRDefault="00BA0613" w:rsidP="00BA0613">
      <w:pPr>
        <w:pStyle w:val="Brezrazmikov"/>
        <w:jc w:val="both"/>
      </w:pPr>
    </w:p>
    <w:p w14:paraId="24841D91" w14:textId="77777777" w:rsidR="00BA0613" w:rsidRPr="00820CFE" w:rsidRDefault="00BA0613" w:rsidP="00BA061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A0613" w:rsidRPr="00820CFE" w14:paraId="171A0079" w14:textId="77777777" w:rsidTr="00DD178D">
        <w:trPr>
          <w:cantSplit/>
        </w:trPr>
        <w:tc>
          <w:tcPr>
            <w:tcW w:w="4361" w:type="dxa"/>
          </w:tcPr>
          <w:p w14:paraId="7B6F065C" w14:textId="77777777" w:rsidR="00BA0613" w:rsidRPr="00820CFE" w:rsidRDefault="00BA0613" w:rsidP="00DD178D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20CFE">
              <w:rPr>
                <w:rFonts w:asciiTheme="minorHAnsi" w:hAnsiTheme="minorHAnsi" w:cs="Arial"/>
                <w:bCs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6D53EA96" w14:textId="77777777" w:rsidR="00BA0613" w:rsidRPr="00820CFE" w:rsidRDefault="00BA0613" w:rsidP="00DD178D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20CFE">
              <w:rPr>
                <w:rFonts w:asciiTheme="minorHAnsi" w:hAnsiTheme="minorHAnsi" w:cs="Arial"/>
                <w:bCs/>
                <w:sz w:val="22"/>
                <w:szCs w:val="22"/>
              </w:rPr>
              <w:t>Ponudnik:</w:t>
            </w:r>
          </w:p>
          <w:p w14:paraId="475B5D60" w14:textId="77777777" w:rsidR="00BA0613" w:rsidRPr="00820CFE" w:rsidRDefault="00BA0613" w:rsidP="00DD178D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A0613" w:rsidRPr="00820CFE" w14:paraId="5F44B645" w14:textId="77777777" w:rsidTr="00DD178D">
        <w:trPr>
          <w:cantSplit/>
        </w:trPr>
        <w:tc>
          <w:tcPr>
            <w:tcW w:w="4361" w:type="dxa"/>
          </w:tcPr>
          <w:p w14:paraId="5B90D834" w14:textId="77777777" w:rsidR="00BA0613" w:rsidRPr="00820CFE" w:rsidRDefault="00BA0613" w:rsidP="00DD178D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361" w:type="dxa"/>
          </w:tcPr>
          <w:p w14:paraId="5EC33036" w14:textId="77777777" w:rsidR="00BA0613" w:rsidRPr="00820CFE" w:rsidRDefault="00BA0613" w:rsidP="00DD178D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11D61FC" w14:textId="77777777" w:rsidR="00BA0613" w:rsidRPr="00820CFE" w:rsidRDefault="00BA0613" w:rsidP="00DD178D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20CFE">
              <w:rPr>
                <w:rFonts w:asciiTheme="minorHAnsi" w:hAnsiTheme="minorHAnsi" w:cs="Arial"/>
                <w:bCs/>
                <w:sz w:val="22"/>
                <w:szCs w:val="22"/>
              </w:rPr>
              <w:t>Žig in podpis:</w:t>
            </w:r>
          </w:p>
        </w:tc>
      </w:tr>
    </w:tbl>
    <w:p w14:paraId="6A1157F8" w14:textId="77777777" w:rsidR="00BA0613" w:rsidRPr="00820CFE" w:rsidRDefault="00BA0613" w:rsidP="00BA0613">
      <w:pPr>
        <w:pStyle w:val="Brezrazmikov"/>
        <w:jc w:val="both"/>
      </w:pPr>
    </w:p>
    <w:p w14:paraId="3668C7C5" w14:textId="77777777" w:rsidR="00BA0613" w:rsidRPr="00820CFE" w:rsidRDefault="00BA0613" w:rsidP="00BA0613">
      <w:pPr>
        <w:pStyle w:val="Brezrazmikov"/>
        <w:jc w:val="both"/>
      </w:pPr>
    </w:p>
    <w:p w14:paraId="6CC4A203" w14:textId="77777777" w:rsidR="00BA0613" w:rsidRPr="003039B7" w:rsidRDefault="00BA0613" w:rsidP="00BA0613">
      <w:pPr>
        <w:keepNext/>
        <w:spacing w:before="240" w:after="60"/>
        <w:outlineLvl w:val="0"/>
        <w:rPr>
          <w:rFonts w:cs="Arial"/>
          <w:b/>
          <w:bCs/>
          <w:sz w:val="21"/>
          <w:szCs w:val="21"/>
        </w:rPr>
      </w:pPr>
    </w:p>
    <w:p w14:paraId="111961BC" w14:textId="77777777" w:rsidR="0059666B" w:rsidRDefault="0059666B"/>
    <w:sectPr w:rsidR="0059666B" w:rsidSect="00BA0613">
      <w:footerReference w:type="default" r:id="rId7"/>
      <w:headerReference w:type="first" r:id="rId8"/>
      <w:footerReference w:type="first" r:id="rId9"/>
      <w:pgSz w:w="11906" w:h="16838"/>
      <w:pgMar w:top="1276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9A44" w14:textId="77777777" w:rsidR="00BA0613" w:rsidRDefault="00BA0613" w:rsidP="00BA0613">
      <w:r>
        <w:separator/>
      </w:r>
    </w:p>
  </w:endnote>
  <w:endnote w:type="continuationSeparator" w:id="0">
    <w:p w14:paraId="50D1C7F9" w14:textId="77777777" w:rsidR="00BA0613" w:rsidRDefault="00BA0613" w:rsidP="00BA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37F0" w14:textId="77777777" w:rsidR="003A4BCD" w:rsidRPr="00BD2A49" w:rsidRDefault="00BA0613" w:rsidP="004E600A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>
      <w:rPr>
        <w:rFonts w:asciiTheme="minorHAnsi" w:hAnsiTheme="minorHAnsi"/>
        <w:noProof/>
        <w:sz w:val="18"/>
        <w:szCs w:val="12"/>
      </w:rPr>
      <w:t>1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AD6CCED" w14:textId="77777777" w:rsidR="003A4BCD" w:rsidRPr="00BD2A49" w:rsidRDefault="00BA0613" w:rsidP="004E600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7D8078A9" w14:textId="77777777" w:rsidR="003A4BCD" w:rsidRPr="003B2D4D" w:rsidRDefault="00BA0613" w:rsidP="002A1328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3711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Rušenj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e/demontaža</w:t>
    </w:r>
    <w:r w:rsidRPr="003711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110 kV stikališča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in daljnovoda </w:t>
    </w:r>
    <w:r w:rsidRPr="003711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RTP </w:t>
    </w:r>
    <w:r w:rsidRPr="0030605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Škofja Loka</w:t>
    </w:r>
    <w:r w:rsidRPr="0030605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, št. </w:t>
    </w:r>
    <w:r w:rsidRPr="0030605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JN22-</w:t>
    </w:r>
    <w:r w:rsidRPr="0030605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002</w:t>
    </w:r>
  </w:p>
  <w:p w14:paraId="44A1E00F" w14:textId="77777777" w:rsidR="00074C7C" w:rsidRDefault="00BA0613" w:rsidP="004E600A">
    <w:pPr>
      <w:pStyle w:val="Noga"/>
    </w:pPr>
  </w:p>
  <w:p w14:paraId="111D7240" w14:textId="77777777" w:rsidR="003A4BCD" w:rsidRDefault="00BA06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8AB3" w14:textId="1ED0A3B8" w:rsidR="00BA0613" w:rsidRPr="00BA0613" w:rsidRDefault="00BA0613" w:rsidP="00BA0613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  <w:lang w:val="sl-SI"/>
      </w:rPr>
    </w:pPr>
    <w:r>
      <w:rPr>
        <w:rFonts w:asciiTheme="minorHAnsi" w:hAnsiTheme="minorHAnsi"/>
        <w:sz w:val="18"/>
        <w:szCs w:val="12"/>
        <w:lang w:val="sl-SI"/>
      </w:rPr>
      <w:t>55</w:t>
    </w:r>
  </w:p>
  <w:p w14:paraId="0525BF49" w14:textId="77777777" w:rsidR="00BA0613" w:rsidRPr="00BD2A49" w:rsidRDefault="00BA0613" w:rsidP="00BA061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14280739" w14:textId="77777777" w:rsidR="00BA0613" w:rsidRPr="003B2D4D" w:rsidRDefault="00BA0613" w:rsidP="00BA0613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3711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Rušenj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e/demontaža</w:t>
    </w:r>
    <w:r w:rsidRPr="003711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110 kV stikališča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in daljnovoda </w:t>
    </w:r>
    <w:r w:rsidRPr="003711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RTP </w:t>
    </w:r>
    <w:r w:rsidRPr="0030605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Škofja Loka, št. JN22-002</w:t>
    </w:r>
  </w:p>
  <w:p w14:paraId="57C12455" w14:textId="5A372EB6" w:rsidR="003A4BCD" w:rsidRDefault="00BA06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EBC6" w14:textId="77777777" w:rsidR="00BA0613" w:rsidRDefault="00BA0613" w:rsidP="00BA0613">
      <w:r>
        <w:separator/>
      </w:r>
    </w:p>
  </w:footnote>
  <w:footnote w:type="continuationSeparator" w:id="0">
    <w:p w14:paraId="147E3601" w14:textId="77777777" w:rsidR="00BA0613" w:rsidRDefault="00BA0613" w:rsidP="00BA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"/>
      <w:tblOverlap w:val="never"/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2126"/>
      <w:gridCol w:w="2080"/>
      <w:gridCol w:w="2314"/>
    </w:tblGrid>
    <w:tr w:rsidR="003A4BCD" w:rsidRPr="001E6419" w14:paraId="70A3259A" w14:textId="77777777" w:rsidTr="760628EE">
      <w:trPr>
        <w:cantSplit/>
        <w:trHeight w:val="225"/>
      </w:trPr>
      <w:tc>
        <w:tcPr>
          <w:tcW w:w="3261" w:type="dxa"/>
          <w:vMerge w:val="restart"/>
        </w:tcPr>
        <w:p w14:paraId="7ADF8840" w14:textId="77777777" w:rsidR="003A4BCD" w:rsidRPr="006D1FD9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</w:pPr>
          <w:r>
            <w:drawing>
              <wp:anchor distT="0" distB="0" distL="114300" distR="114300" simplePos="0" relativeHeight="251659264" behindDoc="1" locked="0" layoutInCell="1" allowOverlap="1" wp14:anchorId="1CA0279C" wp14:editId="471C4B36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00" cy="468000"/>
                <wp:effectExtent l="0" t="0" r="0" b="8255"/>
                <wp:wrapNone/>
                <wp:docPr id="5" name="Slika 5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0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</w:tcPr>
        <w:p w14:paraId="6C7AF6FC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Elektro Gorenjska,</w:t>
          </w:r>
        </w:p>
      </w:tc>
      <w:tc>
        <w:tcPr>
          <w:tcW w:w="2080" w:type="dxa"/>
          <w:vAlign w:val="center"/>
        </w:tcPr>
        <w:p w14:paraId="44620594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Sedež družbe: Kranj</w:t>
          </w:r>
        </w:p>
      </w:tc>
      <w:tc>
        <w:tcPr>
          <w:tcW w:w="2314" w:type="dxa"/>
          <w:vAlign w:val="center"/>
        </w:tcPr>
        <w:p w14:paraId="7F7CC51F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Klicni center: 080 30 19</w:t>
          </w:r>
        </w:p>
      </w:tc>
    </w:tr>
    <w:tr w:rsidR="003A4BCD" w:rsidRPr="001E6419" w14:paraId="2B03F63E" w14:textId="77777777" w:rsidTr="760628EE">
      <w:trPr>
        <w:cantSplit/>
        <w:trHeight w:val="225"/>
      </w:trPr>
      <w:tc>
        <w:tcPr>
          <w:tcW w:w="3261" w:type="dxa"/>
          <w:vMerge/>
        </w:tcPr>
        <w:p w14:paraId="3DE68227" w14:textId="77777777" w:rsidR="003A4BCD" w:rsidRPr="001E6419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126" w:type="dxa"/>
          <w:vAlign w:val="center"/>
        </w:tcPr>
        <w:p w14:paraId="4F1BD9B9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podjetje za distribucijo</w:t>
          </w:r>
        </w:p>
      </w:tc>
      <w:tc>
        <w:tcPr>
          <w:tcW w:w="2080" w:type="dxa"/>
          <w:vAlign w:val="center"/>
        </w:tcPr>
        <w:p w14:paraId="7A7C79F3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Poslovni naslov:</w:t>
          </w:r>
        </w:p>
      </w:tc>
      <w:tc>
        <w:tcPr>
          <w:tcW w:w="2314" w:type="dxa"/>
          <w:vAlign w:val="center"/>
        </w:tcPr>
        <w:p w14:paraId="145F6720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Klici iz tujine: +386 4 2083 333</w:t>
          </w:r>
        </w:p>
      </w:tc>
    </w:tr>
    <w:tr w:rsidR="003A4BCD" w:rsidRPr="001E6419" w14:paraId="184EDDBD" w14:textId="77777777" w:rsidTr="760628EE">
      <w:trPr>
        <w:cantSplit/>
        <w:trHeight w:val="225"/>
      </w:trPr>
      <w:tc>
        <w:tcPr>
          <w:tcW w:w="3261" w:type="dxa"/>
          <w:vMerge/>
        </w:tcPr>
        <w:p w14:paraId="520A642A" w14:textId="77777777" w:rsidR="003A4BCD" w:rsidRPr="001E6419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126" w:type="dxa"/>
          <w:vAlign w:val="center"/>
        </w:tcPr>
        <w:p w14:paraId="73B18F93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električne energije, d.d.</w:t>
          </w:r>
        </w:p>
      </w:tc>
      <w:tc>
        <w:tcPr>
          <w:tcW w:w="2080" w:type="dxa"/>
          <w:vAlign w:val="center"/>
        </w:tcPr>
        <w:p w14:paraId="7DDDDEF4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 xml:space="preserve">Ulica Mirka </w:t>
          </w:r>
          <w:r w:rsidRPr="00185C90">
            <w:rPr>
              <w:sz w:val="15"/>
              <w:szCs w:val="15"/>
            </w:rPr>
            <w:t>Vadnova 3a</w:t>
          </w:r>
        </w:p>
      </w:tc>
      <w:tc>
        <w:tcPr>
          <w:tcW w:w="2314" w:type="dxa"/>
          <w:vAlign w:val="center"/>
        </w:tcPr>
        <w:p w14:paraId="43BF2DDA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Faks: 04 2083 600</w:t>
          </w:r>
        </w:p>
      </w:tc>
    </w:tr>
    <w:tr w:rsidR="003A4BCD" w:rsidRPr="001E6419" w14:paraId="5AF313B6" w14:textId="77777777" w:rsidTr="760628EE">
      <w:trPr>
        <w:cantSplit/>
        <w:trHeight w:val="225"/>
      </w:trPr>
      <w:tc>
        <w:tcPr>
          <w:tcW w:w="3261" w:type="dxa"/>
          <w:vMerge/>
        </w:tcPr>
        <w:p w14:paraId="249D5176" w14:textId="77777777" w:rsidR="003A4BCD" w:rsidRPr="001E6419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126" w:type="dxa"/>
          <w:vAlign w:val="center"/>
        </w:tcPr>
        <w:p w14:paraId="424ADF61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</w:p>
      </w:tc>
      <w:tc>
        <w:tcPr>
          <w:tcW w:w="2080" w:type="dxa"/>
          <w:vAlign w:val="center"/>
        </w:tcPr>
        <w:p w14:paraId="4D6858F7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4000 Kranj</w:t>
          </w:r>
        </w:p>
      </w:tc>
      <w:tc>
        <w:tcPr>
          <w:tcW w:w="2314" w:type="dxa"/>
          <w:vAlign w:val="center"/>
        </w:tcPr>
        <w:p w14:paraId="3729D592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E-pošta: info@elektro-gorenjska.si</w:t>
          </w:r>
        </w:p>
      </w:tc>
    </w:tr>
    <w:tr w:rsidR="003A4BCD" w:rsidRPr="001E6419" w14:paraId="594C635F" w14:textId="77777777" w:rsidTr="760628EE">
      <w:trPr>
        <w:cantSplit/>
        <w:trHeight w:val="225"/>
      </w:trPr>
      <w:tc>
        <w:tcPr>
          <w:tcW w:w="3261" w:type="dxa"/>
        </w:tcPr>
        <w:p w14:paraId="3A480682" w14:textId="77777777" w:rsidR="003A4BCD" w:rsidRPr="001E6419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126" w:type="dxa"/>
          <w:vAlign w:val="center"/>
        </w:tcPr>
        <w:p w14:paraId="782E7773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</w:p>
      </w:tc>
      <w:tc>
        <w:tcPr>
          <w:tcW w:w="2080" w:type="dxa"/>
          <w:vAlign w:val="center"/>
        </w:tcPr>
        <w:p w14:paraId="29A968E5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</w:p>
      </w:tc>
      <w:tc>
        <w:tcPr>
          <w:tcW w:w="2314" w:type="dxa"/>
          <w:vAlign w:val="center"/>
        </w:tcPr>
        <w:p w14:paraId="6329E53E" w14:textId="77777777" w:rsidR="003A4BCD" w:rsidRPr="00185C90" w:rsidRDefault="00BA0613" w:rsidP="000F1230">
          <w:pPr>
            <w:pStyle w:val="EGGlava"/>
            <w:framePr w:hSpace="0" w:wrap="auto" w:vAnchor="margin" w:hAnchor="text" w:xAlign="left" w:yAlign="inline"/>
            <w:suppressOverlap w:val="0"/>
            <w:rPr>
              <w:sz w:val="15"/>
              <w:szCs w:val="15"/>
            </w:rPr>
          </w:pPr>
          <w:r w:rsidRPr="00185C90">
            <w:rPr>
              <w:sz w:val="15"/>
              <w:szCs w:val="15"/>
            </w:rPr>
            <w:t>www.elektro-gorenjska.si</w:t>
          </w:r>
        </w:p>
      </w:tc>
    </w:tr>
  </w:tbl>
  <w:p w14:paraId="628D2A45" w14:textId="77777777" w:rsidR="003A4BCD" w:rsidRPr="00A745E9" w:rsidRDefault="00BA0613" w:rsidP="00A745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FD4"/>
    <w:multiLevelType w:val="hybridMultilevel"/>
    <w:tmpl w:val="3236B76A"/>
    <w:lvl w:ilvl="0" w:tplc="949CB0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25070"/>
    <w:multiLevelType w:val="hybridMultilevel"/>
    <w:tmpl w:val="42007426"/>
    <w:lvl w:ilvl="0" w:tplc="C88425E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168307">
    <w:abstractNumId w:val="1"/>
  </w:num>
  <w:num w:numId="2" w16cid:durableId="18494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13"/>
    <w:rsid w:val="0059666B"/>
    <w:rsid w:val="00A8124C"/>
    <w:rsid w:val="00BA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A9A"/>
  <w15:chartTrackingRefBased/>
  <w15:docId w15:val="{8CBCE26D-3183-4DAA-AB38-6ACC3F74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061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BA0613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BA0613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Glava">
    <w:name w:val="header"/>
    <w:basedOn w:val="Navaden"/>
    <w:link w:val="GlavaZnak"/>
    <w:uiPriority w:val="99"/>
    <w:rsid w:val="00BA0613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BA0613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BA06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BA0613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Brezrazmikov">
    <w:name w:val="No Spacing"/>
    <w:link w:val="BrezrazmikovZnak"/>
    <w:uiPriority w:val="99"/>
    <w:qFormat/>
    <w:rsid w:val="00BA06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BA0613"/>
    <w:rPr>
      <w:rFonts w:ascii="Calibri" w:eastAsia="Calibri" w:hAnsi="Calibri" w:cs="Times New Roman"/>
    </w:rPr>
  </w:style>
  <w:style w:type="paragraph" w:customStyle="1" w:styleId="EGGlava">
    <w:name w:val="EG Glava"/>
    <w:basedOn w:val="Navaden"/>
    <w:link w:val="EGGlavaZnak"/>
    <w:qFormat/>
    <w:rsid w:val="00BA0613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BA0613"/>
    <w:rPr>
      <w:rFonts w:eastAsia="Times New Roman" w:cs="Arial"/>
      <w:bCs/>
      <w:iCs/>
      <w:noProof/>
      <w:color w:val="808080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>Elektro Gorenjska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2022-04-12T05:02:00Z</dcterms:created>
  <dcterms:modified xsi:type="dcterms:W3CDTF">2022-04-12T05:04:00Z</dcterms:modified>
</cp:coreProperties>
</file>