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6B91" w14:textId="293DEF06" w:rsidR="000374DE" w:rsidRPr="000374DE" w:rsidRDefault="005629BD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>
        <w:rPr>
          <w:rFonts w:eastAsia="Times New Roman" w:cstheme="minorHAnsi"/>
          <w:b/>
          <w:lang w:eastAsia="sl-SI"/>
        </w:rPr>
        <w:tab/>
      </w:r>
      <w:r w:rsidR="000374DE" w:rsidRPr="000374DE">
        <w:rPr>
          <w:rFonts w:eastAsia="Times New Roman" w:cstheme="minorHAnsi"/>
          <w:b/>
          <w:lang w:eastAsia="sl-SI"/>
        </w:rPr>
        <w:t>PRILOGA D/7</w:t>
      </w:r>
    </w:p>
    <w:p w14:paraId="29CE82A7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l-SI"/>
        </w:rPr>
      </w:pPr>
    </w:p>
    <w:p w14:paraId="72770680" w14:textId="77777777" w:rsidR="000374DE" w:rsidRPr="000374DE" w:rsidRDefault="000374DE" w:rsidP="000374DE">
      <w:pPr>
        <w:spacing w:after="0" w:line="240" w:lineRule="auto"/>
        <w:rPr>
          <w:rFonts w:eastAsia="Times New Roman" w:cstheme="minorHAnsi"/>
          <w:b/>
          <w:bCs/>
          <w:szCs w:val="24"/>
          <w:lang w:eastAsia="sl-SI"/>
        </w:rPr>
      </w:pPr>
    </w:p>
    <w:p w14:paraId="5B41416D" w14:textId="77777777" w:rsidR="000374DE" w:rsidRPr="000374DE" w:rsidRDefault="000374DE" w:rsidP="000374DE">
      <w:pPr>
        <w:spacing w:after="0" w:line="240" w:lineRule="auto"/>
        <w:rPr>
          <w:rFonts w:eastAsia="Times New Roman" w:cstheme="minorHAnsi"/>
          <w:b/>
          <w:bCs/>
          <w:szCs w:val="24"/>
          <w:lang w:eastAsia="sl-SI"/>
        </w:rPr>
      </w:pPr>
      <w:r w:rsidRPr="000374DE">
        <w:rPr>
          <w:rFonts w:eastAsia="Times New Roman" w:cstheme="minorHAnsi"/>
          <w:b/>
          <w:bCs/>
          <w:szCs w:val="24"/>
          <w:lang w:eastAsia="sl-SI"/>
        </w:rPr>
        <w:t>SPECIFIKACIJA ZAHTEV NAROČNIKA</w:t>
      </w:r>
      <w:r w:rsidRPr="000374DE">
        <w:rPr>
          <w:rFonts w:eastAsia="Times New Roman" w:cstheme="minorHAnsi"/>
          <w:b/>
          <w:bCs/>
          <w:szCs w:val="24"/>
          <w:vertAlign w:val="superscript"/>
          <w:lang w:eastAsia="sl-SI"/>
        </w:rPr>
        <w:footnoteReference w:customMarkFollows="1" w:id="1"/>
        <w:t>16</w:t>
      </w:r>
    </w:p>
    <w:p w14:paraId="7177E636" w14:textId="77777777" w:rsidR="000374DE" w:rsidRPr="000374DE" w:rsidRDefault="000374DE" w:rsidP="000374DE">
      <w:pPr>
        <w:spacing w:after="0" w:line="240" w:lineRule="auto"/>
        <w:rPr>
          <w:rFonts w:eastAsia="Times New Roman" w:cstheme="minorHAnsi"/>
          <w:b/>
          <w:bCs/>
          <w:szCs w:val="24"/>
          <w:lang w:eastAsia="sl-SI"/>
        </w:rPr>
      </w:pPr>
    </w:p>
    <w:p w14:paraId="1FC789E0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Predmet javnega naročila je izvajanje storitev mobilne telefonije in prenosa podatkov z uporabo omrežja mobilnega operaterja in dobavo mobilnih naprav za obdobje treh (3) let. Ponudnik mora vzpostaviti oz. nuditi storitev mobilne telefonije, prenosa podatkov z uporabo lastnega mobilnega omrežja operaterja in zagotoviti dobavo mobilnih naprav ter vzdrževanje delovanja teh storitev v obdobju veljavnosti pogodbe.</w:t>
      </w:r>
    </w:p>
    <w:p w14:paraId="45010B59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</w:p>
    <w:p w14:paraId="541D3F48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Naročnik si želi z javnim naročilom zagotoviti zanesljive in dostopne storitve, storitve kvalitetnega in varnega prenosa podatkov ter brezplačne klice med mobilnimi in stacionarnimi telefonskimi številkami naročnika. </w:t>
      </w:r>
    </w:p>
    <w:p w14:paraId="011180DB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</w:p>
    <w:p w14:paraId="178900EB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Naročnik želi dobro dostopnost storitev na celotnem področju Elektro Gorenjske. Nedelovanje telekomunikacijskih povezav ima lahko za posledico poslovno škodo, zato je za naročnika pomemben podatek o zanesljivosti in razširjenosti lastnega mobilnega omrežja ponudnika na področju celotne Republike Slovenije. Pomembnost dobre pokritosti in </w:t>
      </w:r>
      <w:proofErr w:type="spellStart"/>
      <w:r w:rsidRPr="000374DE">
        <w:rPr>
          <w:rFonts w:eastAsia="Times New Roman" w:cstheme="minorHAnsi"/>
          <w:color w:val="000000" w:themeColor="text1"/>
          <w:lang w:eastAsia="sl-SI" w:bidi="sl-SI"/>
        </w:rPr>
        <w:t>redundančnega</w:t>
      </w:r>
      <w:proofErr w:type="spellEnd"/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 pokritja z baznimi postajami pride do izraza (se pokaže) v situacijah, ko pride do okvar ali prekinitev napajanja, kot posledica izjemnih vremenskih razmer kjer </w:t>
      </w:r>
      <w:proofErr w:type="spellStart"/>
      <w:r w:rsidRPr="000374DE">
        <w:rPr>
          <w:rFonts w:eastAsia="Times New Roman" w:cstheme="minorHAnsi"/>
          <w:color w:val="000000" w:themeColor="text1"/>
          <w:lang w:eastAsia="sl-SI" w:bidi="sl-SI"/>
        </w:rPr>
        <w:t>redundančnost</w:t>
      </w:r>
      <w:proofErr w:type="spellEnd"/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 z zadostnim številom baznih postaj poveča pokritost in s tem dostopnost storitve.</w:t>
      </w:r>
    </w:p>
    <w:p w14:paraId="7DF4E30D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</w:p>
    <w:p w14:paraId="36B77175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Ponudnik mora ponuditi vse razpisane storitve in mobilne naprave oz. vzpostaviti in zagotavljati storitev mobilne telefonije s storitvijo prenosa podatkov, kakor tudi storitve fiksno mobilne konvergence ter nakupa mobilnih naprav.</w:t>
      </w:r>
    </w:p>
    <w:p w14:paraId="36885DD0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</w:p>
    <w:p w14:paraId="2883B2E8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Ponudnik mora zagotoviti, da naročnik ohrani obstoječe mobilne telefonske številke za vsako naročniško razmerje naročnika in izvede brezplačen prenos obstoječih naročnikovih številk v rokih predpisanih v tej dokumentaciji.</w:t>
      </w:r>
    </w:p>
    <w:p w14:paraId="5F73268D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</w:p>
    <w:p w14:paraId="5F9AD8DF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V specifikaciji navedene količine so zgolj okvirne, določene na podlagi ocene naročnikovih potreb po posameznih storitvah oz. mobilnih napravah v naslednjih treh (3) letih in se v obdobju trajanja naročila lahko spremenijo skladno z dejanskimi potrebami naročnika. Naročnik se ne obvezuje, da bo ocenjena triletna količina realizirana.</w:t>
      </w:r>
    </w:p>
    <w:p w14:paraId="527EC132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</w:p>
    <w:p w14:paraId="63C6815D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/>
          <w:color w:val="000000"/>
          <w:lang w:eastAsia="sl-SI" w:bidi="sl-SI"/>
        </w:rPr>
      </w:pPr>
      <w:r w:rsidRPr="000374DE">
        <w:rPr>
          <w:rFonts w:eastAsia="Times New Roman"/>
          <w:color w:val="000000" w:themeColor="text1"/>
          <w:lang w:eastAsia="sl-SI" w:bidi="sl-SI"/>
        </w:rPr>
        <w:t xml:space="preserve">Naročnik si poleg predhodno navedenih mobilnih storitev in naprav pridržuje pravico pri izvajalcu naročati tudi druge vrste mobilnih storitev in naprav s področja tega javnega naročila. Pogoje naročila takšnih storitev ali naprav naročnik in izvajalec dogovorita posebej pred naročilom. Elektro Gorenjska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d.d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 xml:space="preserve">. ima trenutno 260 uporabnikov mobilne telefonije, Gorenjske Elektrarne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d.o.o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 xml:space="preserve">. pa 24  uporabnikov </w:t>
      </w:r>
      <w:r w:rsidRPr="000374DE">
        <w:rPr>
          <w:rFonts w:eastAsia="Times New Roman"/>
          <w:color w:val="000000" w:themeColor="text1"/>
          <w:lang w:eastAsia="sl-SI" w:bidi="sl-SI"/>
        </w:rPr>
        <w:lastRenderedPageBreak/>
        <w:t>mobilne telefonije. Število naročniških razmerij se lahko v času trajanja okvirnega sporazuma spreminja.</w:t>
      </w:r>
    </w:p>
    <w:p w14:paraId="515DC3B2" w14:textId="77777777" w:rsidR="000374DE" w:rsidRPr="000374DE" w:rsidRDefault="000374DE" w:rsidP="000374DE">
      <w:pPr>
        <w:keepNext/>
        <w:widowControl w:val="0"/>
        <w:numPr>
          <w:ilvl w:val="0"/>
          <w:numId w:val="1"/>
        </w:numPr>
        <w:tabs>
          <w:tab w:val="left" w:pos="421"/>
        </w:tabs>
        <w:spacing w:after="220" w:line="264" w:lineRule="auto"/>
        <w:jc w:val="both"/>
        <w:outlineLvl w:val="1"/>
        <w:rPr>
          <w:rFonts w:eastAsia="Times New Roman"/>
          <w:b/>
          <w:bCs/>
          <w:color w:val="000000" w:themeColor="text1"/>
          <w:lang w:eastAsia="sl-SI" w:bidi="sl-SI"/>
        </w:rPr>
      </w:pPr>
    </w:p>
    <w:p w14:paraId="1529679F" w14:textId="77777777" w:rsidR="000374DE" w:rsidRPr="000374DE" w:rsidRDefault="000374DE" w:rsidP="000374DE">
      <w:pPr>
        <w:keepNext/>
        <w:keepLines/>
        <w:widowControl w:val="0"/>
        <w:numPr>
          <w:ilvl w:val="0"/>
          <w:numId w:val="1"/>
        </w:numPr>
        <w:tabs>
          <w:tab w:val="left" w:pos="421"/>
        </w:tabs>
        <w:spacing w:after="220" w:line="264" w:lineRule="auto"/>
        <w:jc w:val="both"/>
        <w:outlineLvl w:val="1"/>
        <w:rPr>
          <w:rFonts w:eastAsia="Times New Roman" w:cstheme="minorHAnsi"/>
          <w:b/>
          <w:color w:val="000000"/>
          <w:lang w:eastAsia="sl-SI" w:bidi="sl-SI"/>
        </w:rPr>
      </w:pPr>
      <w:bookmarkStart w:id="0" w:name="_Toc113279491"/>
      <w:bookmarkStart w:id="1" w:name="_Toc113435963"/>
      <w:bookmarkStart w:id="2" w:name="_Toc115954268"/>
      <w:bookmarkStart w:id="3" w:name="_Toc116457242"/>
      <w:bookmarkStart w:id="4" w:name="_Toc116457294"/>
      <w:bookmarkStart w:id="5" w:name="_Toc116457374"/>
      <w:bookmarkStart w:id="6" w:name="_Toc116457439"/>
      <w:bookmarkStart w:id="7" w:name="_Toc116457525"/>
      <w:bookmarkStart w:id="8" w:name="_Toc116459231"/>
      <w:bookmarkStart w:id="9" w:name="_Toc116544038"/>
      <w:r w:rsidRPr="000374DE">
        <w:rPr>
          <w:rFonts w:eastAsia="Times New Roman"/>
          <w:b/>
          <w:color w:val="000000" w:themeColor="text1"/>
          <w:lang w:eastAsia="sl-SI" w:bidi="sl-SI"/>
        </w:rPr>
        <w:t>STORITVE MOBILNE TELEFONIJE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078FE13" w14:textId="77777777" w:rsidR="000374DE" w:rsidRPr="000374DE" w:rsidRDefault="000374DE" w:rsidP="000374DE">
      <w:pPr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Ponudnik mora zagotavljati:</w:t>
      </w:r>
    </w:p>
    <w:p w14:paraId="6CB80B65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vzpostavitev povezav in prenos govora v vsa telefonska omrežja,</w:t>
      </w:r>
    </w:p>
    <w:p w14:paraId="6B9A227E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70AD47" w:themeColor="accent6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vzpostavitev internetnih povezav in paketnega prenosa podatkov v lastnem omrežju operaterja v tehnologijah: GSM, LTE, 5G,</w:t>
      </w:r>
    </w:p>
    <w:p w14:paraId="132A1EE8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vzpostavitev klicev in prenos govora, SMS, MMS in podatkov v tuja omrežja, v tujih omrežjih in iz njih. Ponudnik mora imeti sklenjene komercialne oz. </w:t>
      </w:r>
      <w:proofErr w:type="spellStart"/>
      <w:r w:rsidRPr="000374DE">
        <w:rPr>
          <w:rFonts w:eastAsia="Times New Roman" w:cstheme="minorHAnsi"/>
          <w:color w:val="000000" w:themeColor="text1"/>
          <w:lang w:eastAsia="sl-SI" w:bidi="sl-SI"/>
        </w:rPr>
        <w:t>roaming</w:t>
      </w:r>
      <w:proofErr w:type="spellEnd"/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 pogodbe z vsaj po enim operaterjem v vsaki članici Evropske unije ter z vsaj 30 operaterji drugih držav sveta (zahtevano najmanj v državah: Veliki Britaniji, Srbiji, Bosni in Hercegovini, Črni gori, Kosovu, Makedoniji, Albaniji, Švici, Lihtenštajnu, Norveški, Islandiji, Ukrajini, Cipru, Turčiji, Japonski, Kitajski, Južni Koreji, Avstraliji, Združenih državah Amerike in Kanadi)., </w:t>
      </w:r>
    </w:p>
    <w:p w14:paraId="51F069BF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govorne storitve: vzpostavitev konferenčnih klicev, zakrivanje naročniške številke, omejevanje sprejema klicev, preusmeritev klicev, čakanje klica, - posredovanje kratkih sporočil SMS in multimedijskih sporočil MMS, </w:t>
      </w:r>
    </w:p>
    <w:p w14:paraId="0F159876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konferenčnih klicev,</w:t>
      </w:r>
    </w:p>
    <w:p w14:paraId="4A8692B3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vzpostavljanje podatkovnih povezav in paketni prenos podatkov na vseh delujočih tehnologijah (2.5G, 4G, 5G,..) </w:t>
      </w:r>
    </w:p>
    <w:p w14:paraId="27B6C0D5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/>
          <w:color w:val="000000" w:themeColor="text1"/>
          <w:lang w:eastAsia="sl-SI" w:bidi="sl-SI"/>
        </w:rPr>
      </w:pPr>
      <w:r w:rsidRPr="000374DE">
        <w:rPr>
          <w:rFonts w:eastAsia="Times New Roman"/>
          <w:color w:val="000000" w:themeColor="text1"/>
          <w:lang w:eastAsia="sl-SI" w:bidi="sl-SI"/>
        </w:rPr>
        <w:t>podatkovne storitve: podatkovne zveze, govorne storitve (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VoLTE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 xml:space="preserve">),  </w:t>
      </w:r>
    </w:p>
    <w:p w14:paraId="2910831F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/>
          <w:color w:val="000000" w:themeColor="text1"/>
          <w:lang w:eastAsia="sl-SI" w:bidi="sl-SI"/>
        </w:rPr>
      </w:pPr>
      <w:r w:rsidRPr="000374DE">
        <w:rPr>
          <w:rFonts w:eastAsia="Times New Roman"/>
          <w:color w:val="000000" w:themeColor="text1"/>
          <w:lang w:eastAsia="sl-SI" w:bidi="sl-SI"/>
        </w:rPr>
        <w:t xml:space="preserve">na vseh naročniških razmerjih uporabo dodatne SIM kartice, ki bo omogočala prenos podatkov in uporabo zakupljenih kvot nosilne mobilne kartice . Morebitna uporaba dodatne SIM 2 se za vsako posamezno SIM kartico aktivira na zahtevo naročnika. Elektro Gorenjska 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d.d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 xml:space="preserve">.  trenutno uporablja 10 SIM 2 kartic, Gorenjske Elektrarne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d.o.o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>. pa 4 SIM2 kartice.</w:t>
      </w:r>
    </w:p>
    <w:p w14:paraId="79830AA2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prehod na morebitnega novega operaterja mora biti transparenten in brez prekinitev, opravljen po dogovoru z naročnikom v času, ki ga uskladita stranki (praviloma ponoči oz. za vikend).</w:t>
      </w:r>
    </w:p>
    <w:p w14:paraId="333BE8E8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brezplačni prenos vseh trenutno obstoječih telefonskih številk ob prevzemu (podpisu) </w:t>
      </w:r>
      <w:r w:rsidRPr="000374DE">
        <w:rPr>
          <w:rFonts w:eastAsia="Times New Roman" w:cstheme="minorHAnsi"/>
          <w:lang w:eastAsia="sl-SI" w:bidi="sl-SI"/>
        </w:rPr>
        <w:t xml:space="preserve">okvirnega sporazuma </w:t>
      </w:r>
      <w:r w:rsidRPr="000374DE">
        <w:rPr>
          <w:rFonts w:eastAsia="Times New Roman" w:cstheme="minorHAnsi"/>
          <w:color w:val="000000" w:themeColor="text1"/>
          <w:lang w:eastAsia="sl-SI" w:bidi="sl-SI"/>
        </w:rPr>
        <w:t>in brezplačni prenos vseh številk ob izteku sporazuma,</w:t>
      </w:r>
    </w:p>
    <w:p w14:paraId="1C62D018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brezplačni prenos posamezne telefonske številke na istega ali drugega operaterja pri prevzemu naročniškega razmerja s strani uporabnika (upokojitev, zamenjava delodajalca, ...), </w:t>
      </w:r>
    </w:p>
    <w:p w14:paraId="15D5EAF5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brezplačna zamenjava SIM kartic, prav tako brezplačni prehod na </w:t>
      </w:r>
      <w:proofErr w:type="spellStart"/>
      <w:r w:rsidRPr="000374DE">
        <w:rPr>
          <w:rFonts w:eastAsia="Times New Roman" w:cstheme="minorHAnsi"/>
          <w:color w:val="000000"/>
          <w:lang w:eastAsia="sl-SI" w:bidi="sl-SI"/>
        </w:rPr>
        <w:t>mikro</w:t>
      </w:r>
      <w:proofErr w:type="spellEnd"/>
      <w:r w:rsidRPr="000374DE">
        <w:rPr>
          <w:rFonts w:eastAsia="Times New Roman" w:cstheme="minorHAnsi"/>
          <w:color w:val="000000"/>
          <w:lang w:eastAsia="sl-SI" w:bidi="sl-SI"/>
        </w:rPr>
        <w:t>/</w:t>
      </w:r>
      <w:proofErr w:type="spellStart"/>
      <w:r w:rsidRPr="000374DE">
        <w:rPr>
          <w:rFonts w:eastAsia="Times New Roman" w:cstheme="minorHAnsi"/>
          <w:color w:val="000000"/>
          <w:lang w:eastAsia="sl-SI" w:bidi="sl-SI"/>
        </w:rPr>
        <w:t>nano</w:t>
      </w:r>
      <w:proofErr w:type="spellEnd"/>
      <w:r w:rsidRPr="000374DE">
        <w:rPr>
          <w:rFonts w:eastAsia="Times New Roman" w:cstheme="minorHAnsi"/>
          <w:color w:val="000000"/>
          <w:lang w:eastAsia="sl-SI" w:bidi="sl-SI"/>
        </w:rPr>
        <w:t xml:space="preserve"> SIM kartice, če bo to potrebno,</w:t>
      </w:r>
    </w:p>
    <w:p w14:paraId="4AA3825C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20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naročnik ima možnost, da od ponudnika prejme najmanj dvajset (20) praznih "3v1" SIM kartic vnaprej/na zalogo, nakar jih, samostojno, po lastni potrebi, preko ponudnikove spletne aplikacije/spletne strani, lahko kadarkoli vklopi (to pride v poštev v primeru, ko naročnik - zaradi izgube, odtujitve, uničenja telefona -, potrebuje takojšen preklop SIM kartice). Ponudnik je po aktivaciji večine SIM kartic dolžan na vsakokratno zahtevo naročnika, naročniku takoj, najkasneje pa v roku 5 dni po prejemu zahteve naročnika, dostaviti nove »3v1« prazne SIM kartice. Naročnik bo predvidoma naročal kvote po dvajset (20) kosov, praznih »3v1« SIM kartic.</w:t>
      </w:r>
    </w:p>
    <w:p w14:paraId="7DCCD697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20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naročnik naj ima, po predhodni najavi, možnost vsaj nekajdnevne brezplačne izposoje/preizkusa ponudnikovih mobilnih testnih naprav, ki jih bo imel v svojem ponudbenem programu, </w:t>
      </w:r>
    </w:p>
    <w:p w14:paraId="36515086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vsa naročniška razmerja morajo imeti neomenjen prenos podatkov, ki ima zakupljenih vsaj </w:t>
      </w:r>
      <w:r w:rsidRPr="000374DE">
        <w:rPr>
          <w:rFonts w:eastAsia="Times New Roman" w:cstheme="minorHAnsi"/>
          <w:color w:val="000000"/>
          <w:lang w:eastAsia="sl-SI" w:bidi="sl-SI"/>
        </w:rPr>
        <w:lastRenderedPageBreak/>
        <w:t>60 GB oz. 200 GB prenosa podatkov (</w:t>
      </w: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glede na izbrani paket, PRILOGA D/6 Specifikacija zahtev naročnika). </w:t>
      </w:r>
      <w:r w:rsidRPr="000374DE">
        <w:rPr>
          <w:rFonts w:eastAsia="Times New Roman" w:cstheme="minorHAnsi"/>
          <w:color w:val="000000"/>
          <w:lang w:eastAsia="sl-SI" w:bidi="sl-SI"/>
        </w:rPr>
        <w:t>Po prekoračitvi zakupljenih količin mora biti omogočena nadaljnja uporaba z znižano hitrostjo prenosa podatkov vsaj 64 </w:t>
      </w:r>
      <w:proofErr w:type="spellStart"/>
      <w:r w:rsidRPr="000374DE">
        <w:rPr>
          <w:rFonts w:eastAsia="Times New Roman" w:cstheme="minorHAnsi"/>
          <w:color w:val="000000"/>
          <w:lang w:eastAsia="sl-SI" w:bidi="sl-SI"/>
        </w:rPr>
        <w:t>Kbps</w:t>
      </w:r>
      <w:proofErr w:type="spellEnd"/>
      <w:r w:rsidRPr="000374DE">
        <w:rPr>
          <w:rFonts w:eastAsia="Times New Roman" w:cstheme="minorHAnsi"/>
          <w:color w:val="000000"/>
          <w:lang w:eastAsia="sl-SI" w:bidi="sl-SI"/>
        </w:rPr>
        <w:t xml:space="preserve">,  </w:t>
      </w:r>
    </w:p>
    <w:p w14:paraId="688AED48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kvartalno naročniku na podlagi narave uporabe mobilnega omrežja predlaga spremembe </w:t>
      </w:r>
      <w:r w:rsidRPr="000374DE">
        <w:rPr>
          <w:rFonts w:eastAsia="Times New Roman" w:cstheme="minorHAnsi"/>
          <w:color w:val="000000"/>
          <w:lang w:eastAsia="sl-SI" w:bidi="sl-SI"/>
        </w:rPr>
        <w:t>paketov, ki bi pomenile nižanje stroškov in ne nižanja nivoja storitev,</w:t>
      </w:r>
    </w:p>
    <w:p w14:paraId="34BDE3BC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/>
          <w:sz w:val="24"/>
          <w:szCs w:val="24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izstavitev elektronskega računa po standardu e-SLOG 2.0, </w:t>
      </w:r>
    </w:p>
    <w:p w14:paraId="73D67172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izdati obračun porabe na skupni fakturi na tak način, da bo omogočena kontrola višine zneska za vsakega posameznega uporabnika, identificiranega s telefonsko številko.</w:t>
      </w:r>
    </w:p>
    <w:p w14:paraId="04CB0D91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 primerih slabše pokritosti oz. razpoložljivosti signala lastnega omrežja v poslovnih prostorih naročnika, brezplačno zgradi ustrezno notranjo inštalacijo,</w:t>
      </w:r>
    </w:p>
    <w:p w14:paraId="7CD41D8F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montaža in morebitna brezplačna izposoja naprave za zagotovitev manjkajočega pokrivanja s signalom izbranega ponudnika ali zagotovitev naročniškega razmerja pri drugem operaterju (za čas veljavnosti okvirnega sporazuma) oziroma primerljiva tehnična rešitev za odpravo težave s slabšo signalno pokritostjo na domačem naslovu dežurnega zaposlenca naročnika, cena paketa drugega operaterja mora biti enaka ponujenim cenam paketov iz razpisa,</w:t>
      </w:r>
    </w:p>
    <w:p w14:paraId="707EE564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10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možnost vzpostavitve limita porabe z opozorilom o prekoračitvi, ki se vzpostavi na predlog naročnika oz. uporabnika,</w:t>
      </w:r>
    </w:p>
    <w:p w14:paraId="4F3323A4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brezplačno ločevanje storitev in posredovanih plačil na: službeno - osnovni račun (naročnina in promet nad zakupljenimi količinami do dodatnega limita npr. 10 EUR) in privatno - ločeni račun (promet preko limita 10 EUR, npr. Moneta, posebne številke, donacije, glasovanje in podobno ...), z izstavljanjem računa za naročnika (pravno osebo), in ločenega računa za uporabnika (fizično osebo) na naslov fizične osebe, </w:t>
      </w:r>
    </w:p>
    <w:p w14:paraId="77EB1D39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za obračunavanje storitev na ločenem računu z vsemi uporabniki po naročnikovem seznamu sklenil pogodbo ob sklenitvi razmerja,</w:t>
      </w:r>
    </w:p>
    <w:p w14:paraId="11CCFAF6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v primeru</w:t>
      </w:r>
      <w:r w:rsidRPr="000374DE">
        <w:rPr>
          <w:rFonts w:eastAsia="Times New Roman" w:cstheme="minorHAnsi"/>
          <w:color w:val="000000" w:themeColor="text1"/>
          <w:lang w:eastAsia="sl-SI" w:bidi="sl-SI"/>
        </w:rPr>
        <w:t>, da uporabnik ločenega računa svojih obveznosti ne poravna v predpisanem roku,</w:t>
      </w:r>
      <w:r w:rsidRPr="000374DE">
        <w:rPr>
          <w:rFonts w:eastAsia="Times New Roman" w:cstheme="minorHAnsi"/>
          <w:color w:val="000000"/>
          <w:lang w:eastAsia="sl-SI" w:bidi="sl-SI"/>
        </w:rPr>
        <w:t xml:space="preserve"> ponudnik storitev svoj opomin/terjatev naslovi neposredno na uporabnika ločenega računa (fizična oseba). To pomeni, da se »opomin/plačilo/izterjava« ureja neposredno na relaciji »ponudnik storitev - uporabnik ločenega računa (fizična oseba)«,</w:t>
      </w:r>
    </w:p>
    <w:p w14:paraId="7FC46E87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omogočil uporabo dodatnih storitev (npr. plačilne storitve) za naročnike vseh paketov in omogočil obračunavanje na ločenem računu v skladu s splošnimi pogoji ponudnika. Vklop/Izklop dodatnih storitev je za naročnika brezplačen,</w:t>
      </w:r>
    </w:p>
    <w:p w14:paraId="2DD135F8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aktivacijo storitev ali dodatnih zakupov tako z uporabo SMS sporočil, kot tudi s pošiljanjem zahtev pooblaščenih oseb naročnika na elektronski naslov ponudnika. V primeru aktivacije preko SMS sporočil se aktivirane storitve zaračunavajo na privatnem delu ločenega računa, v primeru posredovanja zahtev pooblaščenih oseb naročnik pa na službenem delu ločenega računa.</w:t>
      </w:r>
    </w:p>
    <w:p w14:paraId="4E10278F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sistem ločevanja stroškov mora delovati z dnem začetka nudenja storitev izbranega ponudnika,</w:t>
      </w:r>
    </w:p>
    <w:p w14:paraId="5CCA8931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brezplačna zamenjava paketov,</w:t>
      </w:r>
    </w:p>
    <w:p w14:paraId="60FDFA62" w14:textId="77777777" w:rsidR="000374DE" w:rsidRPr="000374DE" w:rsidRDefault="000374DE" w:rsidP="000374DE">
      <w:pPr>
        <w:widowControl w:val="0"/>
        <w:numPr>
          <w:ilvl w:val="0"/>
          <w:numId w:val="2"/>
        </w:numPr>
        <w:tabs>
          <w:tab w:val="left" w:pos="708"/>
          <w:tab w:val="left" w:pos="715"/>
        </w:tabs>
        <w:spacing w:after="0" w:line="262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brezplačno sporočanje porabe preko SMS sporočil oz. preko klicnega centra ponudnika,</w:t>
      </w:r>
    </w:p>
    <w:p w14:paraId="0A7B7CCA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stalno (24/7) podporo uporabnikom, </w:t>
      </w:r>
    </w:p>
    <w:p w14:paraId="3E6EF62C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on-line spletni nadzor tekoče porabe po posameznih naročniških razmerjih, zaščiten s certifikatom, sporočanje porabe preko SMS sporočil, </w:t>
      </w:r>
    </w:p>
    <w:p w14:paraId="41E6D6F1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možnost določanja omejitve klicev za vsako razmerje posebej, </w:t>
      </w:r>
    </w:p>
    <w:p w14:paraId="4FD0B70A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ponudnik mora za mobilne naprave kupljene v sklopu tega razpisa, ki so še pod garancijo, nuditi servis in nadomestno mobilno napravo v času popravila, </w:t>
      </w:r>
    </w:p>
    <w:p w14:paraId="150ACC28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 xml:space="preserve">ponudnik mora zagotoviti klicanje med uporabniki znotraj skupine naročnika tako z dolgimi </w:t>
      </w:r>
      <w:r w:rsidRPr="000374DE">
        <w:rPr>
          <w:rFonts w:eastAsia="Times New Roman" w:cstheme="minorHAnsi"/>
          <w:color w:val="000000" w:themeColor="text1"/>
          <w:lang w:eastAsia="sl-SI" w:bidi="sl-SI"/>
        </w:rPr>
        <w:lastRenderedPageBreak/>
        <w:t>kakor tudi s kratkimi tri mestnimi številkami,</w:t>
      </w:r>
    </w:p>
    <w:p w14:paraId="5A46E5FC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ponudnik mora zagotoviti fiksno mobilno konvergenco (na primer EPO) za potrebe klicev iz mobilnega omrežja ponudnika v privatno telefonsko omrežje naročnika in obratno. Medsebojno klicanje stacionarnih in mobilnih naročnikov mora biti izvedljivo z dolgo številko ali s prefiksom [št.:7] in kratko trimestno številko v obe smeri. Izbrani ponudnik bo vzpostavil tudi redundantno povezavo (IP Trunk) do naročnikove privatne telefonske centrale,</w:t>
      </w:r>
    </w:p>
    <w:p w14:paraId="6CF1CB03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klici znotraj skupine kakor tudi storitev fiksno mobilne konvergence morajo biti brezplačni,</w:t>
      </w:r>
    </w:p>
    <w:p w14:paraId="13062376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mobilno gostovanje, to je uporaba mobilnih storitev v tujini, izven EU (govor, SMS/MMS sporočila, podatkovni prenos), kar bo naročnik občasno uporabljal,</w:t>
      </w:r>
    </w:p>
    <w:p w14:paraId="6D8B1299" w14:textId="77777777" w:rsidR="000374DE" w:rsidRPr="000374DE" w:rsidRDefault="000374DE" w:rsidP="000374DE">
      <w:pPr>
        <w:widowControl w:val="0"/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color w:val="000000" w:themeColor="text1"/>
          <w:lang w:eastAsia="sl-SI" w:bidi="sl-SI"/>
        </w:rPr>
        <w:t>vse ostale storitve in opremo, ki jih nudi v svoji ponudbi zasebnim in poslovnim uporabnikom, velja uradno veljavni cenik za poslovne uporabnike, ob upoštevanju popusta iz obrazca ponudbe.</w:t>
      </w:r>
    </w:p>
    <w:p w14:paraId="0B556249" w14:textId="77777777" w:rsidR="000374DE" w:rsidRPr="000374DE" w:rsidRDefault="000374DE" w:rsidP="000374DE">
      <w:pPr>
        <w:widowControl w:val="0"/>
        <w:spacing w:after="0" w:line="264" w:lineRule="auto"/>
        <w:ind w:left="720"/>
        <w:jc w:val="both"/>
        <w:rPr>
          <w:rFonts w:eastAsia="Times New Roman" w:cstheme="minorHAnsi"/>
          <w:color w:val="000000" w:themeColor="text1"/>
          <w:lang w:eastAsia="sl-SI" w:bidi="sl-SI"/>
        </w:rPr>
      </w:pPr>
    </w:p>
    <w:p w14:paraId="65A830CE" w14:textId="77777777" w:rsidR="000374DE" w:rsidRPr="000374DE" w:rsidRDefault="000374DE" w:rsidP="000374DE">
      <w:pPr>
        <w:keepNext/>
        <w:keepLines/>
        <w:widowControl w:val="0"/>
        <w:numPr>
          <w:ilvl w:val="0"/>
          <w:numId w:val="1"/>
        </w:numPr>
        <w:tabs>
          <w:tab w:val="left" w:pos="411"/>
        </w:tabs>
        <w:spacing w:after="240" w:line="262" w:lineRule="auto"/>
        <w:jc w:val="both"/>
        <w:outlineLvl w:val="1"/>
        <w:rPr>
          <w:rFonts w:eastAsia="Times New Roman" w:cstheme="minorHAnsi"/>
          <w:b/>
          <w:color w:val="000000"/>
          <w:lang w:eastAsia="sl-SI" w:bidi="sl-SI"/>
        </w:rPr>
      </w:pPr>
      <w:bookmarkStart w:id="10" w:name="_Toc113279492"/>
      <w:bookmarkStart w:id="11" w:name="_Toc113435964"/>
      <w:bookmarkStart w:id="12" w:name="_Toc115954269"/>
      <w:bookmarkStart w:id="13" w:name="_Toc116457243"/>
      <w:bookmarkStart w:id="14" w:name="_Toc116457295"/>
      <w:bookmarkStart w:id="15" w:name="_Toc116457375"/>
      <w:bookmarkStart w:id="16" w:name="_Toc116457440"/>
      <w:bookmarkStart w:id="17" w:name="_Toc116457526"/>
      <w:bookmarkStart w:id="18" w:name="_Toc116459232"/>
      <w:bookmarkStart w:id="19" w:name="_Toc116544039"/>
      <w:r w:rsidRPr="000374DE">
        <w:rPr>
          <w:rFonts w:eastAsia="Times New Roman"/>
          <w:b/>
          <w:color w:val="000000" w:themeColor="text1"/>
          <w:lang w:eastAsia="sl-SI" w:bidi="sl-SI"/>
        </w:rPr>
        <w:t>MOBILNE NAPRAVE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0654813" w14:textId="77777777" w:rsidR="000374DE" w:rsidRPr="000374DE" w:rsidRDefault="000374DE" w:rsidP="000374DE">
      <w:pPr>
        <w:widowControl w:val="0"/>
        <w:spacing w:after="240" w:line="262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Naročnik bo mobilne naprave naročal po potrebi. Trenutno primerljivi model je »Samsung </w:t>
      </w:r>
      <w:proofErr w:type="spellStart"/>
      <w:r w:rsidRPr="000374DE">
        <w:rPr>
          <w:rFonts w:eastAsia="Times New Roman" w:cstheme="minorHAnsi"/>
          <w:lang w:eastAsia="sl-SI" w:bidi="sl-SI"/>
        </w:rPr>
        <w:t>Galaxy</w:t>
      </w:r>
      <w:proofErr w:type="spellEnd"/>
      <w:r w:rsidRPr="000374DE">
        <w:rPr>
          <w:rFonts w:eastAsia="Times New Roman" w:cstheme="minorHAnsi"/>
          <w:lang w:eastAsia="sl-SI" w:bidi="sl-SI"/>
        </w:rPr>
        <w:t xml:space="preserve"> A33 5G 128 GB«. Predvideno letno število nakupa mobilnih naprav je ocenjeno na 1/2 (polovico) števila naročniških razmerij iz tega krovnega sporazuma. </w:t>
      </w:r>
    </w:p>
    <w:p w14:paraId="488AB055" w14:textId="77777777" w:rsidR="000374DE" w:rsidRPr="000374DE" w:rsidRDefault="000374DE" w:rsidP="000374DE">
      <w:pPr>
        <w:spacing w:after="0" w:line="276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Rok dobave opreme in storitev je najkasneje 14 delovnih dni po prejemu naročila, daljši dobavni rok je možen le zaradi objektivnih okoliščin ob predhodnem dogovoru z naročnikom. Naročnik bo naročila posredoval sukcesivno preko elektronske pošte. Prevzem bo izveden na podlagi dobavnice na lokaciji naročnika.</w:t>
      </w:r>
    </w:p>
    <w:p w14:paraId="0B9B85E6" w14:textId="77777777" w:rsidR="000374DE" w:rsidRPr="000374DE" w:rsidRDefault="000374DE" w:rsidP="000374D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val="x-none" w:eastAsia="sl-SI" w:bidi="sl-SI"/>
        </w:rPr>
      </w:pPr>
    </w:p>
    <w:p w14:paraId="686C8252" w14:textId="77777777" w:rsidR="000374DE" w:rsidRPr="000374DE" w:rsidRDefault="000374DE" w:rsidP="000374DE">
      <w:pPr>
        <w:widowControl w:val="0"/>
        <w:spacing w:after="240" w:line="262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>Splošne zahteve:</w:t>
      </w:r>
    </w:p>
    <w:p w14:paraId="25D085B7" w14:textId="77777777" w:rsidR="000374DE" w:rsidRPr="000374DE" w:rsidRDefault="000374DE" w:rsidP="000374DE">
      <w:pPr>
        <w:widowControl w:val="0"/>
        <w:numPr>
          <w:ilvl w:val="0"/>
          <w:numId w:val="5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color w:val="000000" w:themeColor="text1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dobavljene mobilne naprave ne smejo biti zaklenjene oz. na kakršenkoli način vezane na enega ponudnika, v njih je možno vstaviti SIM kartico kateregakoli ponudnika</w:t>
      </w:r>
      <w:r w:rsidRPr="000374DE" w:rsidDel="008F22A6">
        <w:rPr>
          <w:rFonts w:eastAsia="Times New Roman" w:cstheme="minorHAnsi"/>
          <w:lang w:eastAsia="sl-SI" w:bidi="sl-SI"/>
        </w:rPr>
        <w:t xml:space="preserve"> </w:t>
      </w:r>
      <w:r w:rsidRPr="000374DE">
        <w:rPr>
          <w:rFonts w:eastAsia="Times New Roman" w:cstheme="minorHAnsi"/>
          <w:lang w:eastAsia="sl-SI" w:bidi="sl-SI"/>
        </w:rPr>
        <w:t>nakup mobilnih naprav je brez dodatne časovne vezave naročniškega razmerja,</w:t>
      </w:r>
    </w:p>
    <w:p w14:paraId="4BA695F8" w14:textId="77777777" w:rsidR="000374DE" w:rsidRPr="000374DE" w:rsidRDefault="000374DE" w:rsidP="000374DE">
      <w:pPr>
        <w:widowControl w:val="0"/>
        <w:numPr>
          <w:ilvl w:val="0"/>
          <w:numId w:val="5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color w:val="000000" w:themeColor="text1"/>
          <w:lang w:bidi="en-US"/>
        </w:rPr>
      </w:pPr>
      <w:r w:rsidRPr="000374DE">
        <w:rPr>
          <w:rFonts w:eastAsia="Times New Roman" w:cstheme="minorHAnsi"/>
          <w:lang w:eastAsia="sl-SI" w:bidi="sl-SI"/>
        </w:rPr>
        <w:t>ob začetku prodaje nove mobilne naprave (v skladu s tehničnimi razpisnimi pogoji), bo ponudnik osvežil ponujeni nabor mobilnih naprav, in sicer z uvrstitvijo modelov, ki so bili na trgu ravno zamenjani z najnovejšimi, v ponudbo, pod enakimi pogoji kot veljajo v tem cenovnem razredu (ponudba se ažurira najmanj enkrat v četrtletju),</w:t>
      </w:r>
    </w:p>
    <w:p w14:paraId="50D438CA" w14:textId="77777777" w:rsidR="000374DE" w:rsidRPr="000374DE" w:rsidRDefault="000374DE" w:rsidP="000374DE">
      <w:pPr>
        <w:widowControl w:val="0"/>
        <w:numPr>
          <w:ilvl w:val="0"/>
          <w:numId w:val="5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color w:val="000000" w:themeColor="text1"/>
          <w:lang w:bidi="en-US"/>
        </w:rPr>
      </w:pPr>
      <w:r w:rsidRPr="000374DE">
        <w:rPr>
          <w:rFonts w:eastAsia="Times New Roman" w:cstheme="minorHAnsi"/>
          <w:lang w:eastAsia="sl-SI" w:bidi="sl-SI"/>
        </w:rPr>
        <w:t>ponudnik naj ponudi najmanj 3 (tri) modele mobilnih naprav različnih proizvajalcev, po enotni ceni za vse ponujene modele,</w:t>
      </w:r>
    </w:p>
    <w:p w14:paraId="78937439" w14:textId="77777777" w:rsidR="000374DE" w:rsidRPr="000374DE" w:rsidRDefault="000374DE" w:rsidP="000374DE">
      <w:pPr>
        <w:widowControl w:val="0"/>
        <w:numPr>
          <w:ilvl w:val="0"/>
          <w:numId w:val="5"/>
        </w:numPr>
        <w:tabs>
          <w:tab w:val="left" w:pos="714"/>
          <w:tab w:val="left" w:pos="720"/>
        </w:tabs>
        <w:spacing w:line="262" w:lineRule="auto"/>
        <w:jc w:val="both"/>
        <w:rPr>
          <w:rFonts w:eastAsia="Times New Roman" w:cstheme="minorHAnsi"/>
          <w:color w:val="000000" w:themeColor="text1"/>
          <w:lang w:bidi="en-US"/>
        </w:rPr>
      </w:pPr>
      <w:r w:rsidRPr="000374DE">
        <w:rPr>
          <w:rFonts w:eastAsia="Times New Roman" w:cstheme="minorHAnsi"/>
          <w:lang w:bidi="en-US"/>
        </w:rPr>
        <w:t>garancijska doba naprav mora biti vsaj 24 mesecev,</w:t>
      </w:r>
    </w:p>
    <w:p w14:paraId="4BDE9C8D" w14:textId="77777777" w:rsidR="000374DE" w:rsidRPr="000374DE" w:rsidRDefault="000374DE" w:rsidP="000374DE">
      <w:pPr>
        <w:widowControl w:val="0"/>
        <w:numPr>
          <w:ilvl w:val="0"/>
          <w:numId w:val="5"/>
        </w:numPr>
        <w:tabs>
          <w:tab w:val="left" w:pos="714"/>
          <w:tab w:val="left" w:pos="720"/>
        </w:tabs>
        <w:spacing w:line="262" w:lineRule="auto"/>
        <w:jc w:val="both"/>
        <w:rPr>
          <w:rFonts w:eastAsia="Times New Roman" w:cstheme="minorHAnsi"/>
          <w:color w:val="000000" w:themeColor="text1"/>
          <w:lang w:bidi="en-US"/>
        </w:rPr>
      </w:pPr>
      <w:r w:rsidRPr="000374DE">
        <w:rPr>
          <w:rFonts w:eastAsia="Times New Roman" w:cstheme="minorHAnsi"/>
          <w:lang w:eastAsia="sl-SI" w:bidi="sl-SI"/>
        </w:rPr>
        <w:t xml:space="preserve">pooblaščen </w:t>
      </w:r>
      <w:r w:rsidRPr="000374DE">
        <w:rPr>
          <w:rFonts w:eastAsia="Times New Roman" w:cstheme="minorHAnsi"/>
          <w:lang w:bidi="en-US"/>
        </w:rPr>
        <w:t>servis v Republiki Sloveniji.</w:t>
      </w:r>
    </w:p>
    <w:p w14:paraId="3628B227" w14:textId="77777777" w:rsidR="000374DE" w:rsidRPr="000374DE" w:rsidRDefault="000374DE" w:rsidP="000374DE">
      <w:pPr>
        <w:widowControl w:val="0"/>
        <w:tabs>
          <w:tab w:val="left" w:pos="714"/>
          <w:tab w:val="left" w:pos="720"/>
        </w:tabs>
        <w:spacing w:after="240" w:line="262" w:lineRule="auto"/>
        <w:jc w:val="both"/>
        <w:rPr>
          <w:rFonts w:eastAsia="Times New Roman" w:cstheme="minorHAnsi"/>
          <w:color w:val="70AD47" w:themeColor="accent6"/>
          <w:lang w:bidi="en-US"/>
        </w:rPr>
      </w:pPr>
    </w:p>
    <w:p w14:paraId="52474F58" w14:textId="77777777" w:rsidR="000374DE" w:rsidRPr="000374DE" w:rsidRDefault="000374DE" w:rsidP="000374DE">
      <w:pPr>
        <w:keepNext/>
        <w:widowControl w:val="0"/>
        <w:numPr>
          <w:ilvl w:val="0"/>
          <w:numId w:val="1"/>
        </w:numPr>
        <w:spacing w:after="240" w:line="264" w:lineRule="auto"/>
        <w:jc w:val="both"/>
        <w:rPr>
          <w:rFonts w:eastAsia="Times New Roman" w:cstheme="minorHAnsi"/>
          <w:b/>
          <w:color w:val="000000"/>
          <w:lang w:eastAsia="sl-SI" w:bidi="sl-SI"/>
        </w:rPr>
      </w:pPr>
      <w:r w:rsidRPr="000374DE">
        <w:rPr>
          <w:rFonts w:eastAsia="Times New Roman"/>
          <w:b/>
          <w:color w:val="000000" w:themeColor="text1"/>
          <w:lang w:eastAsia="sl-SI" w:bidi="sl-SI"/>
        </w:rPr>
        <w:t>PAKETI OZ. VRSTE NAROČNIŠKIH RAZMERIJ</w:t>
      </w:r>
    </w:p>
    <w:p w14:paraId="14BBC042" w14:textId="77777777" w:rsidR="000374DE" w:rsidRPr="000374DE" w:rsidRDefault="000374DE" w:rsidP="000374DE">
      <w:pPr>
        <w:keepNext/>
        <w:widowControl w:val="0"/>
        <w:spacing w:after="240" w:line="264" w:lineRule="auto"/>
        <w:jc w:val="both"/>
        <w:rPr>
          <w:rFonts w:eastAsia="Times New Roman" w:cstheme="minorHAnsi"/>
          <w:b/>
          <w:color w:val="000000"/>
          <w:lang w:eastAsia="sl-SI" w:bidi="sl-SI"/>
        </w:rPr>
      </w:pPr>
      <w:r w:rsidRPr="000374DE">
        <w:rPr>
          <w:rFonts w:eastAsia="Times New Roman" w:cstheme="minorHAnsi"/>
          <w:b/>
          <w:color w:val="000000"/>
          <w:lang w:eastAsia="sl-SI" w:bidi="sl-SI"/>
        </w:rPr>
        <w:t>Osnovni paket</w:t>
      </w:r>
    </w:p>
    <w:p w14:paraId="01CB5CED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/>
          <w:color w:val="000000" w:themeColor="text1"/>
          <w:lang w:eastAsia="sl-SI" w:bidi="sl-SI"/>
        </w:rPr>
      </w:pPr>
      <w:r w:rsidRPr="000374DE">
        <w:rPr>
          <w:rFonts w:eastAsia="Times New Roman"/>
          <w:color w:val="000000" w:themeColor="text1"/>
          <w:lang w:eastAsia="sl-SI" w:bidi="sl-SI"/>
        </w:rPr>
        <w:t xml:space="preserve">Naročniški paket se uporablja za dosegljivost oseb na mobilni telefon, za klice in prenos podatkov. </w:t>
      </w:r>
      <w:r w:rsidRPr="000374DE">
        <w:rPr>
          <w:rFonts w:eastAsia="Times New Roman"/>
          <w:color w:val="000000" w:themeColor="text1"/>
          <w:lang w:eastAsia="sl-SI" w:bidi="sl-SI"/>
        </w:rPr>
        <w:lastRenderedPageBreak/>
        <w:t xml:space="preserve">Trenutno število naročniških paketov (številk oz. uporabnikov): Elektro Gorenjska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d.d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 xml:space="preserve">. trenutno 253, Gorenjske Elektrarne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d.o.o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>.  trenutno 24</w:t>
      </w:r>
    </w:p>
    <w:p w14:paraId="71B8A55E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/>
          <w:color w:val="000000"/>
          <w:lang w:eastAsia="sl-SI" w:bidi="sl-SI"/>
        </w:rPr>
      </w:pPr>
    </w:p>
    <w:p w14:paraId="53AD0CF9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Paket mora vsebovati: </w:t>
      </w:r>
    </w:p>
    <w:p w14:paraId="30D786BF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 mesečni obračun, </w:t>
      </w:r>
    </w:p>
    <w:p w14:paraId="57592281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neomejene klice v vsa slovenska omrežja in države območja EU – tarife, </w:t>
      </w:r>
    </w:p>
    <w:p w14:paraId="118D95E5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neomejena sporočila v vsa slovenska omrežja in države območja EU – tarife, </w:t>
      </w:r>
    </w:p>
    <w:p w14:paraId="7FBC1C4C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vključeno 120 min pogovorov iz Slovenije v območje EU, </w:t>
      </w:r>
    </w:p>
    <w:p w14:paraId="6E9692F5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vsaj 60GB prenosa podatkov v Sloveniji,</w:t>
      </w:r>
    </w:p>
    <w:p w14:paraId="2190AAE1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vsaj 10 GB prenosa podatkov v območju EU - tarife, brez omejitve hitrosti in ne manj, kot je v skladu z EU direktivo,</w:t>
      </w:r>
    </w:p>
    <w:p w14:paraId="45F8468A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8"/>
          <w:tab w:val="left" w:pos="720"/>
        </w:tabs>
        <w:spacing w:after="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hitri internet 4G/5G, </w:t>
      </w:r>
    </w:p>
    <w:p w14:paraId="60B6FCF0" w14:textId="77777777" w:rsidR="000374DE" w:rsidRPr="000374DE" w:rsidRDefault="000374DE" w:rsidP="000374DE">
      <w:pPr>
        <w:widowControl w:val="0"/>
        <w:numPr>
          <w:ilvl w:val="0"/>
          <w:numId w:val="3"/>
        </w:numPr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dodatne SIM kartice, ki je vezana na osnovno naročniško razmerje,</w:t>
      </w:r>
    </w:p>
    <w:p w14:paraId="67127719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varen spletni nadzor tekoče porabe po posameznih naročniških razmerjih,</w:t>
      </w:r>
    </w:p>
    <w:p w14:paraId="4A6FFA36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nadzor porabe po posameznih naročniških razmerjih preko mobilnega portala,</w:t>
      </w:r>
    </w:p>
    <w:p w14:paraId="44DEB452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nastavitve in spreminjanja alarmov za prekomerno porabo,</w:t>
      </w:r>
    </w:p>
    <w:p w14:paraId="2EB88B4D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določanja omejitev klicanja za vsako razmerje posebej,</w:t>
      </w:r>
    </w:p>
    <w:p w14:paraId="78C4D6D2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ločitev stroškov na službeno (pravna oseba) in privatno (fizična oseba) porabo na osnovi modelov  ločevanja izbranega ponudnika z izstavljanjem ločenih računov za pravno in ločeno za fizično osebo na naslov fizične osebe (posebne številke, donacije in podobno),</w:t>
      </w:r>
    </w:p>
    <w:p w14:paraId="32722BED" w14:textId="77777777" w:rsidR="000374DE" w:rsidRPr="000374DE" w:rsidRDefault="000374DE" w:rsidP="000374DE">
      <w:pPr>
        <w:widowControl w:val="0"/>
        <w:numPr>
          <w:ilvl w:val="0"/>
          <w:numId w:val="3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konferenčnih klicev.</w:t>
      </w:r>
    </w:p>
    <w:p w14:paraId="610C03D4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 </w:t>
      </w:r>
    </w:p>
    <w:p w14:paraId="24FBC8F7" w14:textId="77777777" w:rsidR="000374DE" w:rsidRPr="000374DE" w:rsidRDefault="000374DE" w:rsidP="000374DE">
      <w:pPr>
        <w:keepNext/>
        <w:widowControl w:val="0"/>
        <w:spacing w:after="240" w:line="264" w:lineRule="auto"/>
        <w:jc w:val="both"/>
        <w:rPr>
          <w:rFonts w:eastAsia="Times New Roman" w:cstheme="minorHAnsi"/>
          <w:b/>
          <w:color w:val="000000"/>
          <w:lang w:eastAsia="sl-SI" w:bidi="sl-SI"/>
        </w:rPr>
      </w:pPr>
      <w:r w:rsidRPr="000374DE">
        <w:rPr>
          <w:rFonts w:eastAsia="Times New Roman" w:cstheme="minorHAnsi"/>
          <w:b/>
          <w:color w:val="000000"/>
          <w:lang w:eastAsia="sl-SI" w:bidi="sl-SI"/>
        </w:rPr>
        <w:t xml:space="preserve">Paket za zahtevne uporabnike </w:t>
      </w:r>
    </w:p>
    <w:p w14:paraId="6A596340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/>
          <w:color w:val="000000" w:themeColor="text1"/>
          <w:lang w:eastAsia="sl-SI" w:bidi="sl-SI"/>
        </w:rPr>
      </w:pPr>
      <w:r w:rsidRPr="000374DE">
        <w:rPr>
          <w:rFonts w:eastAsia="Times New Roman"/>
          <w:color w:val="000000" w:themeColor="text1"/>
          <w:lang w:eastAsia="sl-SI" w:bidi="sl-SI"/>
        </w:rPr>
        <w:t xml:space="preserve">Naročniški paket se uporablja za dosegljivost oseb na mobilni telefon, za klice in prenos podatkov. Trenutno število naročniških paketov (številk oz. uporabnikov): Elektro Gorenjska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d.d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 xml:space="preserve">. trenutno 7, Gorenjske Elektrarne </w:t>
      </w:r>
      <w:proofErr w:type="spellStart"/>
      <w:r w:rsidRPr="000374DE">
        <w:rPr>
          <w:rFonts w:eastAsia="Times New Roman"/>
          <w:color w:val="000000" w:themeColor="text1"/>
          <w:lang w:eastAsia="sl-SI" w:bidi="sl-SI"/>
        </w:rPr>
        <w:t>d.o.o</w:t>
      </w:r>
      <w:proofErr w:type="spellEnd"/>
      <w:r w:rsidRPr="000374DE">
        <w:rPr>
          <w:rFonts w:eastAsia="Times New Roman"/>
          <w:color w:val="000000" w:themeColor="text1"/>
          <w:lang w:eastAsia="sl-SI" w:bidi="sl-SI"/>
        </w:rPr>
        <w:t>.  trenutno 0</w:t>
      </w:r>
    </w:p>
    <w:p w14:paraId="02417EF2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</w:p>
    <w:p w14:paraId="25AFC496" w14:textId="77777777" w:rsidR="000374DE" w:rsidRPr="000374DE" w:rsidRDefault="000374DE" w:rsidP="000374DE">
      <w:pPr>
        <w:keepNext/>
        <w:widowControl w:val="0"/>
        <w:spacing w:after="0" w:line="264" w:lineRule="auto"/>
        <w:jc w:val="both"/>
        <w:rPr>
          <w:rFonts w:eastAsia="Times New Roman" w:cstheme="minorHAnsi"/>
          <w:color w:val="000000"/>
          <w:lang w:eastAsia="sl-SI" w:bidi="sl-SI"/>
        </w:rPr>
      </w:pPr>
      <w:r w:rsidRPr="000374DE">
        <w:rPr>
          <w:rFonts w:eastAsia="Times New Roman" w:cstheme="minorHAnsi"/>
          <w:color w:val="000000"/>
          <w:lang w:eastAsia="sl-SI" w:bidi="sl-SI"/>
        </w:rPr>
        <w:t xml:space="preserve">Paket mora vsebovati: </w:t>
      </w:r>
    </w:p>
    <w:p w14:paraId="63156A96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mesečni obračun, </w:t>
      </w:r>
    </w:p>
    <w:p w14:paraId="47A6E0E5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neomejene klice v vsa slovenska omrežja in v državah območja EU – tarife, </w:t>
      </w:r>
    </w:p>
    <w:p w14:paraId="680E9A50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 xml:space="preserve">neomejena sporočila v vsa slovenska omrežja in državah območja EU – tarife, </w:t>
      </w:r>
    </w:p>
    <w:p w14:paraId="1342E933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vključeno 240 min pogovorov iz Slovenije v območje EU,</w:t>
      </w:r>
    </w:p>
    <w:p w14:paraId="08F8FFDB" w14:textId="77777777" w:rsidR="000374DE" w:rsidRPr="000374DE" w:rsidRDefault="000374DE" w:rsidP="000374DE">
      <w:pPr>
        <w:widowControl w:val="0"/>
        <w:numPr>
          <w:ilvl w:val="0"/>
          <w:numId w:val="3"/>
        </w:numPr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vsaj 200 GB prenosa podatkov v Sloveniji in v državah območja EU – tarife, brez omejitve hitrosti in ne manj, kot je v skladu z EU direktivo,</w:t>
      </w:r>
    </w:p>
    <w:p w14:paraId="537C1C1F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lastRenderedPageBreak/>
        <w:t xml:space="preserve">hitri internet 4G/5G 450/150,  </w:t>
      </w:r>
    </w:p>
    <w:p w14:paraId="5B4FA781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8"/>
          <w:tab w:val="left" w:pos="720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dodatne SIM kartice, ki je vezana na osnovno naročniško razmerje,</w:t>
      </w:r>
    </w:p>
    <w:p w14:paraId="19D9DC54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9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varen spletni nadzor tekoče porabe po posameznih naročniških razmerjih,</w:t>
      </w:r>
    </w:p>
    <w:p w14:paraId="55E63B89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9"/>
        </w:tabs>
        <w:spacing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nadzor porabe po posameznih naročniških razmerjih preko mobilnega portala,</w:t>
      </w:r>
    </w:p>
    <w:p w14:paraId="7C86D95F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nastavitve in spreminjanja alarmov za prekomerno porabo,</w:t>
      </w:r>
    </w:p>
    <w:p w14:paraId="5C4E1336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določanja omejitev klicanja za vsako razmerje posebej,</w:t>
      </w:r>
    </w:p>
    <w:p w14:paraId="3A43E8A4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ločitev stroškov na službeno (pravna oseba) in privatno (fizična oseba) porabo na osnovi modelov  ločevanja izbranega ponudnika z izstavljanjem ločenih računov za pravno in ločeno za fizično osebo na naslov fizične osebe (posebne številke, donacije in podobno),</w:t>
      </w:r>
    </w:p>
    <w:p w14:paraId="5A40B63D" w14:textId="77777777" w:rsidR="000374DE" w:rsidRPr="000374DE" w:rsidRDefault="000374DE" w:rsidP="000374DE">
      <w:pPr>
        <w:widowControl w:val="0"/>
        <w:numPr>
          <w:ilvl w:val="0"/>
          <w:numId w:val="4"/>
        </w:numPr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  <w:r w:rsidRPr="000374DE">
        <w:rPr>
          <w:rFonts w:eastAsia="Times New Roman" w:cstheme="minorHAnsi"/>
          <w:lang w:eastAsia="sl-SI" w:bidi="sl-SI"/>
        </w:rPr>
        <w:t>možnost konferenčnih klicev.</w:t>
      </w:r>
    </w:p>
    <w:p w14:paraId="7F9C3A1E" w14:textId="77777777" w:rsidR="000374DE" w:rsidRPr="000374DE" w:rsidRDefault="000374DE" w:rsidP="000374DE">
      <w:pPr>
        <w:widowControl w:val="0"/>
        <w:tabs>
          <w:tab w:val="left" w:pos="709"/>
        </w:tabs>
        <w:spacing w:after="240" w:line="264" w:lineRule="auto"/>
        <w:jc w:val="both"/>
        <w:rPr>
          <w:rFonts w:eastAsia="Times New Roman" w:cstheme="minorHAnsi"/>
          <w:lang w:eastAsia="sl-SI" w:bidi="sl-SI"/>
        </w:rPr>
      </w:pPr>
    </w:p>
    <w:p w14:paraId="276E89AF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56A4D0EB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0BEFB91E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0374DE">
        <w:rPr>
          <w:rFonts w:eastAsia="Tahoma" w:cstheme="minorHAnsi"/>
          <w:color w:val="000000"/>
          <w:lang w:eastAsia="sl-SI" w:bidi="sl-SI"/>
        </w:rPr>
        <w:t>Ponujeno blago in storitve so v celoti skladne z zahtevami in pogoji te dokumentacije.</w:t>
      </w:r>
    </w:p>
    <w:p w14:paraId="069D5D0A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5E06F164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4B678256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5D00047E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64B93B26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  <w:t>Ime in priimek:</w:t>
      </w:r>
    </w:p>
    <w:p w14:paraId="311F17CB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374DE">
        <w:rPr>
          <w:rFonts w:eastAsia="Times New Roman" w:cstheme="minorHAnsi"/>
          <w:bCs/>
          <w:lang w:eastAsia="sl-SI"/>
        </w:rPr>
        <w:t xml:space="preserve">V/na ___________, dne __________ </w:t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</w:r>
      <w:r w:rsidRPr="000374DE">
        <w:rPr>
          <w:rFonts w:eastAsia="Times New Roman" w:cstheme="minorHAnsi"/>
          <w:bCs/>
          <w:lang w:eastAsia="sl-SI"/>
        </w:rPr>
        <w:tab/>
        <w:t>Žig in podpis:</w:t>
      </w:r>
    </w:p>
    <w:p w14:paraId="10E08B4F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14D10E5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48DE7B3" w14:textId="77777777" w:rsidR="000374DE" w:rsidRPr="000374DE" w:rsidRDefault="000374DE" w:rsidP="000374DE">
      <w:pPr>
        <w:tabs>
          <w:tab w:val="left" w:pos="540"/>
        </w:tabs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FE94F1" w14:textId="77777777" w:rsidR="000374DE" w:rsidRPr="000374DE" w:rsidRDefault="000374DE" w:rsidP="000374DE"/>
    <w:p w14:paraId="47B32992" w14:textId="77777777" w:rsidR="0059666B" w:rsidRDefault="0059666B"/>
    <w:sectPr w:rsidR="0059666B" w:rsidSect="002A7964">
      <w:footerReference w:type="default" r:id="rId7"/>
      <w:pgSz w:w="11906" w:h="16838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2A97" w14:textId="77777777" w:rsidR="000374DE" w:rsidRDefault="000374DE" w:rsidP="000374DE">
      <w:pPr>
        <w:spacing w:after="0" w:line="240" w:lineRule="auto"/>
      </w:pPr>
      <w:r>
        <w:separator/>
      </w:r>
    </w:p>
  </w:endnote>
  <w:endnote w:type="continuationSeparator" w:id="0">
    <w:p w14:paraId="33F92615" w14:textId="77777777" w:rsidR="000374DE" w:rsidRDefault="000374DE" w:rsidP="000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B07" w14:textId="77777777" w:rsidR="002A7964" w:rsidRPr="002A7964" w:rsidRDefault="000374DE" w:rsidP="002A7964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2A7964">
      <w:rPr>
        <w:rFonts w:eastAsia="Times New Roman" w:cs="Times New Roman"/>
        <w:sz w:val="18"/>
        <w:szCs w:val="12"/>
        <w:lang w:eastAsia="sl-SI"/>
      </w:rPr>
      <w:fldChar w:fldCharType="begin"/>
    </w:r>
    <w:r w:rsidRPr="002A7964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2A7964">
      <w:rPr>
        <w:rFonts w:eastAsia="Times New Roman" w:cs="Times New Roman"/>
        <w:sz w:val="18"/>
        <w:szCs w:val="12"/>
        <w:lang w:eastAsia="sl-SI"/>
      </w:rPr>
      <w:fldChar w:fldCharType="separate"/>
    </w:r>
    <w:r w:rsidRPr="002A7964">
      <w:rPr>
        <w:rFonts w:eastAsia="Times New Roman" w:cs="Times New Roman"/>
        <w:sz w:val="18"/>
        <w:szCs w:val="12"/>
        <w:lang w:eastAsia="sl-SI"/>
      </w:rPr>
      <w:t>37</w:t>
    </w:r>
    <w:r w:rsidRPr="002A7964">
      <w:rPr>
        <w:rFonts w:eastAsia="Times New Roman" w:cs="Times New Roman"/>
        <w:sz w:val="18"/>
        <w:szCs w:val="12"/>
        <w:lang w:eastAsia="sl-SI"/>
      </w:rPr>
      <w:fldChar w:fldCharType="end"/>
    </w:r>
  </w:p>
  <w:p w14:paraId="1987CD8D" w14:textId="77777777" w:rsidR="002A7964" w:rsidRPr="002A7964" w:rsidRDefault="000374DE" w:rsidP="002A796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2A7964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2A7964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2A7964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09E5642E" w14:textId="77777777" w:rsidR="002A7964" w:rsidRPr="002A7964" w:rsidRDefault="000374DE" w:rsidP="002A796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bookmarkStart w:id="20" w:name="_Hlk109641606"/>
    <w:r w:rsidRPr="002A7964">
      <w:rPr>
        <w:rFonts w:eastAsia="Times New Roman" w:cs="Arial"/>
        <w:i/>
        <w:color w:val="000000" w:themeColor="text1"/>
        <w:sz w:val="18"/>
        <w:szCs w:val="18"/>
        <w:lang w:eastAsia="sl-SI"/>
      </w:rPr>
      <w:t>Storitve javne mobilne telefonije</w:t>
    </w:r>
    <w:bookmarkEnd w:id="20"/>
    <w:r w:rsidRPr="002A7964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 in dobava mobilnih naprav, št. JN(S)22-004</w:t>
    </w:r>
  </w:p>
  <w:p w14:paraId="4040F6E7" w14:textId="77777777" w:rsidR="002A7964" w:rsidRDefault="005629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D5D2" w14:textId="77777777" w:rsidR="000374DE" w:rsidRDefault="000374DE" w:rsidP="000374DE">
      <w:pPr>
        <w:spacing w:after="0" w:line="240" w:lineRule="auto"/>
      </w:pPr>
      <w:r>
        <w:separator/>
      </w:r>
    </w:p>
  </w:footnote>
  <w:footnote w:type="continuationSeparator" w:id="0">
    <w:p w14:paraId="1A975020" w14:textId="77777777" w:rsidR="000374DE" w:rsidRDefault="000374DE" w:rsidP="000374DE">
      <w:pPr>
        <w:spacing w:after="0" w:line="240" w:lineRule="auto"/>
      </w:pPr>
      <w:r>
        <w:continuationSeparator/>
      </w:r>
    </w:p>
  </w:footnote>
  <w:footnote w:id="1">
    <w:p w14:paraId="5BA4D65D" w14:textId="77777777" w:rsidR="000374DE" w:rsidRPr="00D514D8" w:rsidRDefault="000374DE" w:rsidP="000374DE">
      <w:pPr>
        <w:jc w:val="both"/>
        <w:rPr>
          <w:rFonts w:eastAsia="Calibri" w:cstheme="minorHAnsi"/>
        </w:rPr>
      </w:pPr>
      <w:r>
        <w:rPr>
          <w:rStyle w:val="Sprotnaopomba-sklic"/>
          <w:rFonts w:ascii="Times New Roman" w:eastAsia="Times New Roman" w:hAnsi="Times New Roman" w:cs="Times New Roman"/>
          <w:sz w:val="20"/>
          <w:szCs w:val="20"/>
          <w:lang w:val="x-none" w:eastAsia="sl-SI"/>
        </w:rPr>
        <w:t>16</w:t>
      </w:r>
      <w:r>
        <w:t xml:space="preserve"> </w:t>
      </w:r>
      <w:r w:rsidRPr="00D514D8">
        <w:rPr>
          <w:rFonts w:eastAsia="Calibri" w:cstheme="minorHAnsi"/>
        </w:rPr>
        <w:tab/>
      </w:r>
      <w:r w:rsidRPr="00E413ED">
        <w:rPr>
          <w:rFonts w:eastAsia="Calibri" w:cstheme="minorHAnsi"/>
          <w:sz w:val="20"/>
          <w:szCs w:val="20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5DC08E71" w14:textId="77777777" w:rsidR="000374DE" w:rsidRPr="00D514D8" w:rsidRDefault="000374DE" w:rsidP="000374DE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5BA"/>
    <w:multiLevelType w:val="hybridMultilevel"/>
    <w:tmpl w:val="A1000080"/>
    <w:lvl w:ilvl="0" w:tplc="A7AE2884">
      <w:numFmt w:val="decimal"/>
      <w:lvlText w:val=""/>
      <w:lvlJc w:val="left"/>
    </w:lvl>
    <w:lvl w:ilvl="1" w:tplc="A20E6CDE">
      <w:numFmt w:val="decimal"/>
      <w:lvlText w:val=""/>
      <w:lvlJc w:val="left"/>
    </w:lvl>
    <w:lvl w:ilvl="2" w:tplc="F0220696">
      <w:numFmt w:val="decimal"/>
      <w:lvlText w:val=""/>
      <w:lvlJc w:val="left"/>
    </w:lvl>
    <w:lvl w:ilvl="3" w:tplc="042C7F68">
      <w:numFmt w:val="decimal"/>
      <w:lvlText w:val=""/>
      <w:lvlJc w:val="left"/>
    </w:lvl>
    <w:lvl w:ilvl="4" w:tplc="4AA05950">
      <w:numFmt w:val="decimal"/>
      <w:lvlText w:val=""/>
      <w:lvlJc w:val="left"/>
    </w:lvl>
    <w:lvl w:ilvl="5" w:tplc="C90ECCC0">
      <w:numFmt w:val="decimal"/>
      <w:lvlText w:val=""/>
      <w:lvlJc w:val="left"/>
    </w:lvl>
    <w:lvl w:ilvl="6" w:tplc="9716B872">
      <w:numFmt w:val="decimal"/>
      <w:lvlText w:val=""/>
      <w:lvlJc w:val="left"/>
    </w:lvl>
    <w:lvl w:ilvl="7" w:tplc="A006AF40">
      <w:numFmt w:val="decimal"/>
      <w:lvlText w:val=""/>
      <w:lvlJc w:val="left"/>
    </w:lvl>
    <w:lvl w:ilvl="8" w:tplc="BD7E2258">
      <w:numFmt w:val="decimal"/>
      <w:lvlText w:val=""/>
      <w:lvlJc w:val="left"/>
    </w:lvl>
  </w:abstractNum>
  <w:abstractNum w:abstractNumId="1" w15:restartNumberingAfterBreak="0">
    <w:nsid w:val="1F820705"/>
    <w:multiLevelType w:val="hybridMultilevel"/>
    <w:tmpl w:val="16EA52D6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6DEC"/>
    <w:multiLevelType w:val="hybridMultilevel"/>
    <w:tmpl w:val="E01E7120"/>
    <w:lvl w:ilvl="0" w:tplc="3BD83512">
      <w:start w:val="1"/>
      <w:numFmt w:val="bullet"/>
      <w:lvlText w:val="-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0991220"/>
    <w:multiLevelType w:val="hybridMultilevel"/>
    <w:tmpl w:val="C4769330"/>
    <w:lvl w:ilvl="0" w:tplc="3BD83512">
      <w:start w:val="1"/>
      <w:numFmt w:val="bullet"/>
      <w:lvlText w:val="-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850EE3"/>
    <w:multiLevelType w:val="hybridMultilevel"/>
    <w:tmpl w:val="179E7AEE"/>
    <w:lvl w:ilvl="0" w:tplc="3BD83512">
      <w:start w:val="1"/>
      <w:numFmt w:val="bullet"/>
      <w:lvlText w:val="-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18579239">
    <w:abstractNumId w:val="0"/>
  </w:num>
  <w:num w:numId="2" w16cid:durableId="104083627">
    <w:abstractNumId w:val="1"/>
  </w:num>
  <w:num w:numId="3" w16cid:durableId="1440637235">
    <w:abstractNumId w:val="2"/>
  </w:num>
  <w:num w:numId="4" w16cid:durableId="761029706">
    <w:abstractNumId w:val="3"/>
  </w:num>
  <w:num w:numId="5" w16cid:durableId="1152913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DE"/>
    <w:rsid w:val="000374DE"/>
    <w:rsid w:val="005629BD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08FE"/>
  <w15:chartTrackingRefBased/>
  <w15:docId w15:val="{7CF3C6CF-B21C-4CDE-A601-97D24A5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03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374D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0374DE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03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12225</Characters>
  <Application>Microsoft Office Word</Application>
  <DocSecurity>0</DocSecurity>
  <Lines>101</Lines>
  <Paragraphs>28</Paragraphs>
  <ScaleCrop>false</ScaleCrop>
  <Company>Elektro Gorenjska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2022-10-18T05:48:00Z</dcterms:created>
  <dcterms:modified xsi:type="dcterms:W3CDTF">2022-10-18T06:40:00Z</dcterms:modified>
</cp:coreProperties>
</file>